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4815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color w:val="auto"/>
          <w:sz w:val="44"/>
          <w:szCs w:val="44"/>
        </w:rPr>
      </w:pPr>
      <w:r>
        <w:rPr>
          <w:rFonts w:hint="eastAsia" w:ascii="宋体" w:hAnsi="宋体" w:eastAsia="宋体" w:cs="宋体"/>
          <w:b/>
          <w:color w:val="auto"/>
          <w:sz w:val="44"/>
          <w:szCs w:val="44"/>
          <w:lang w:val="en-US" w:eastAsia="zh-CN"/>
        </w:rPr>
        <w:t>义</w:t>
      </w:r>
      <w:r>
        <w:rPr>
          <w:rFonts w:hint="eastAsia" w:ascii="宋体" w:hAnsi="宋体" w:eastAsia="宋体" w:cs="宋体"/>
          <w:b/>
          <w:color w:val="auto"/>
          <w:sz w:val="44"/>
          <w:szCs w:val="44"/>
        </w:rPr>
        <w:t>县人民检察院工作报告</w:t>
      </w:r>
    </w:p>
    <w:p w14:paraId="2E409007">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b w:val="0"/>
          <w:bCs w:val="0"/>
          <w:color w:val="auto"/>
          <w:spacing w:val="-14"/>
          <w:sz w:val="32"/>
          <w:szCs w:val="32"/>
        </w:rPr>
      </w:pPr>
      <w:r>
        <w:rPr>
          <w:rFonts w:hint="eastAsia" w:ascii="楷体" w:hAnsi="楷体" w:eastAsia="楷体" w:cs="楷体"/>
          <w:b w:val="0"/>
          <w:bCs w:val="0"/>
          <w:color w:val="auto"/>
          <w:spacing w:val="-14"/>
          <w:sz w:val="32"/>
          <w:szCs w:val="32"/>
        </w:rPr>
        <w:t>—2022年12月</w:t>
      </w:r>
      <w:r>
        <w:rPr>
          <w:rFonts w:hint="eastAsia" w:ascii="楷体" w:hAnsi="楷体" w:eastAsia="楷体" w:cs="楷体"/>
          <w:b w:val="0"/>
          <w:bCs w:val="0"/>
          <w:color w:val="auto"/>
          <w:spacing w:val="-14"/>
          <w:sz w:val="32"/>
          <w:szCs w:val="32"/>
          <w:lang w:val="en-US" w:eastAsia="zh-CN"/>
        </w:rPr>
        <w:t>21</w:t>
      </w:r>
      <w:r>
        <w:rPr>
          <w:rFonts w:hint="eastAsia" w:ascii="楷体" w:hAnsi="楷体" w:eastAsia="楷体" w:cs="楷体"/>
          <w:b w:val="0"/>
          <w:bCs w:val="0"/>
          <w:color w:val="auto"/>
          <w:spacing w:val="-14"/>
          <w:sz w:val="32"/>
          <w:szCs w:val="32"/>
        </w:rPr>
        <w:t>日在</w:t>
      </w:r>
      <w:r>
        <w:rPr>
          <w:rFonts w:hint="eastAsia" w:ascii="楷体" w:hAnsi="楷体" w:eastAsia="楷体" w:cs="楷体"/>
          <w:b w:val="0"/>
          <w:bCs w:val="0"/>
          <w:color w:val="auto"/>
          <w:spacing w:val="-14"/>
          <w:sz w:val="32"/>
          <w:szCs w:val="32"/>
          <w:lang w:val="en-US" w:eastAsia="zh-CN"/>
        </w:rPr>
        <w:t>义县</w:t>
      </w:r>
      <w:r>
        <w:rPr>
          <w:rFonts w:hint="eastAsia" w:ascii="楷体" w:hAnsi="楷体" w:eastAsia="楷体" w:cs="楷体"/>
          <w:b w:val="0"/>
          <w:bCs w:val="0"/>
          <w:color w:val="auto"/>
          <w:spacing w:val="-14"/>
          <w:sz w:val="32"/>
          <w:szCs w:val="32"/>
        </w:rPr>
        <w:t>第十九届人民代表大会第</w:t>
      </w:r>
      <w:r>
        <w:rPr>
          <w:rFonts w:hint="eastAsia" w:ascii="楷体" w:hAnsi="楷体" w:eastAsia="楷体" w:cs="楷体"/>
          <w:b w:val="0"/>
          <w:bCs w:val="0"/>
          <w:color w:val="auto"/>
          <w:spacing w:val="-14"/>
          <w:sz w:val="32"/>
          <w:szCs w:val="32"/>
          <w:lang w:val="en-US" w:eastAsia="zh-CN"/>
        </w:rPr>
        <w:t>三</w:t>
      </w:r>
      <w:r>
        <w:rPr>
          <w:rFonts w:hint="eastAsia" w:ascii="楷体" w:hAnsi="楷体" w:eastAsia="楷体" w:cs="楷体"/>
          <w:b w:val="0"/>
          <w:bCs w:val="0"/>
          <w:color w:val="auto"/>
          <w:spacing w:val="-14"/>
          <w:sz w:val="32"/>
          <w:szCs w:val="32"/>
        </w:rPr>
        <w:t>次会议上</w:t>
      </w:r>
    </w:p>
    <w:p w14:paraId="2220009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Times New Roman"/>
          <w:b/>
          <w:bCs/>
          <w:color w:val="auto"/>
          <w:spacing w:val="-14"/>
          <w:sz w:val="32"/>
          <w:szCs w:val="32"/>
        </w:rPr>
      </w:pPr>
      <w:r>
        <w:rPr>
          <w:rFonts w:hint="eastAsia" w:ascii="楷体" w:hAnsi="楷体" w:eastAsia="楷体" w:cs="楷体"/>
          <w:b w:val="0"/>
          <w:bCs w:val="0"/>
          <w:color w:val="auto"/>
          <w:spacing w:val="-14"/>
          <w:sz w:val="32"/>
          <w:szCs w:val="32"/>
          <w:lang w:val="en-US" w:eastAsia="zh-CN"/>
        </w:rPr>
        <w:t>义</w:t>
      </w:r>
      <w:r>
        <w:rPr>
          <w:rFonts w:hint="eastAsia" w:ascii="楷体" w:hAnsi="楷体" w:eastAsia="楷体" w:cs="楷体"/>
          <w:b w:val="0"/>
          <w:bCs w:val="0"/>
          <w:color w:val="auto"/>
          <w:spacing w:val="-14"/>
          <w:sz w:val="32"/>
          <w:szCs w:val="32"/>
        </w:rPr>
        <w:t>县人民检察院</w:t>
      </w:r>
      <w:r>
        <w:rPr>
          <w:rFonts w:hint="eastAsia" w:ascii="楷体" w:hAnsi="楷体" w:eastAsia="楷体" w:cs="楷体"/>
          <w:b w:val="0"/>
          <w:bCs w:val="0"/>
          <w:color w:val="auto"/>
          <w:spacing w:val="-14"/>
          <w:sz w:val="32"/>
          <w:szCs w:val="32"/>
          <w:lang w:val="en-US" w:eastAsia="zh-CN"/>
        </w:rPr>
        <w:t xml:space="preserve"> </w:t>
      </w:r>
      <w:r>
        <w:rPr>
          <w:rFonts w:hint="eastAsia" w:ascii="楷体" w:hAnsi="楷体" w:eastAsia="楷体" w:cs="楷体"/>
          <w:b w:val="0"/>
          <w:bCs w:val="0"/>
          <w:color w:val="auto"/>
          <w:spacing w:val="-14"/>
          <w:sz w:val="32"/>
          <w:szCs w:val="32"/>
        </w:rPr>
        <w:t>检察长</w:t>
      </w:r>
      <w:r>
        <w:rPr>
          <w:rFonts w:hint="eastAsia" w:ascii="楷体" w:hAnsi="楷体" w:eastAsia="楷体" w:cs="楷体"/>
          <w:b w:val="0"/>
          <w:bCs w:val="0"/>
          <w:color w:val="auto"/>
          <w:spacing w:val="-14"/>
          <w:sz w:val="32"/>
          <w:szCs w:val="32"/>
          <w:lang w:val="en-US" w:eastAsia="zh-CN"/>
        </w:rPr>
        <w:t xml:space="preserve">  丁  敏</w:t>
      </w:r>
    </w:p>
    <w:p w14:paraId="1A3AF48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各位代表：</w:t>
      </w:r>
    </w:p>
    <w:p w14:paraId="181AFFC1">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现在，我代表县人民检察院向大会报告工作，请予审议，并请政协委员和列席会议的同志提出意见。</w:t>
      </w:r>
    </w:p>
    <w:p w14:paraId="12D41CCC">
      <w:pPr>
        <w:pStyle w:val="2"/>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rPr>
      </w:pPr>
    </w:p>
    <w:p w14:paraId="3A339259">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2022年主要工作回顾</w:t>
      </w:r>
    </w:p>
    <w:p w14:paraId="1D0E2928">
      <w:pPr>
        <w:pStyle w:val="2"/>
        <w:keepNext w:val="0"/>
        <w:keepLines w:val="0"/>
        <w:pageBreakBefore w:val="0"/>
        <w:widowControl w:val="0"/>
        <w:kinsoku/>
        <w:wordWrap/>
        <w:overflowPunct/>
        <w:topLinePunct w:val="0"/>
        <w:autoSpaceDE/>
        <w:autoSpaceDN/>
        <w:bidi w:val="0"/>
        <w:adjustRightInd/>
        <w:snapToGrid/>
        <w:spacing w:line="320" w:lineRule="exact"/>
        <w:textAlignment w:val="auto"/>
      </w:pPr>
    </w:p>
    <w:p w14:paraId="371B4E0C">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仿宋"/>
          <w:bCs/>
          <w:color w:val="auto"/>
          <w:sz w:val="32"/>
          <w:szCs w:val="32"/>
        </w:rPr>
      </w:pPr>
      <w:r>
        <w:rPr>
          <w:rFonts w:hint="eastAsia" w:ascii="仿宋" w:hAnsi="仿宋" w:eastAsia="仿宋" w:cs="仿宋"/>
          <w:bCs/>
          <w:color w:val="auto"/>
          <w:sz w:val="32"/>
          <w:szCs w:val="32"/>
        </w:rPr>
        <w:t>过去的一年，我院在县委和市检察院正确领导</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县人大依法监督</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县政府、县政协和</w:t>
      </w:r>
      <w:r>
        <w:rPr>
          <w:rFonts w:hint="eastAsia" w:ascii="仿宋" w:hAnsi="仿宋" w:eastAsia="仿宋" w:cs="仿宋"/>
          <w:bCs/>
          <w:color w:val="auto"/>
          <w:sz w:val="32"/>
          <w:szCs w:val="32"/>
          <w:lang w:eastAsia="zh-CN"/>
        </w:rPr>
        <w:t>社会各界</w:t>
      </w:r>
      <w:r>
        <w:rPr>
          <w:rFonts w:hint="eastAsia" w:ascii="仿宋" w:hAnsi="仿宋" w:eastAsia="仿宋" w:cs="仿宋"/>
          <w:bCs/>
          <w:color w:val="auto"/>
          <w:sz w:val="32"/>
          <w:szCs w:val="32"/>
        </w:rPr>
        <w:t>大力支持下，深入践行习近平法治思想，认真落实县委各项决策部署，以“质量建设年”为契机，推进检察一体化</w:t>
      </w:r>
      <w:r>
        <w:rPr>
          <w:rFonts w:hint="eastAsia" w:ascii="仿宋" w:hAnsi="仿宋" w:eastAsia="仿宋" w:cs="仿宋"/>
          <w:bCs/>
          <w:color w:val="auto"/>
          <w:sz w:val="32"/>
          <w:szCs w:val="32"/>
          <w:lang w:eastAsia="zh-CN"/>
        </w:rPr>
        <w:t>建设，</w:t>
      </w:r>
      <w:r>
        <w:rPr>
          <w:rFonts w:hint="eastAsia" w:ascii="仿宋" w:hAnsi="仿宋" w:eastAsia="仿宋" w:cs="仿宋"/>
          <w:bCs/>
          <w:color w:val="auto"/>
          <w:sz w:val="32"/>
          <w:szCs w:val="32"/>
        </w:rPr>
        <w:t>能动履职，服务保障我县经济社会高质量发展，</w:t>
      </w:r>
      <w:r>
        <w:rPr>
          <w:rFonts w:hint="eastAsia" w:ascii="仿宋" w:hAnsi="仿宋" w:eastAsia="仿宋" w:cs="仿宋"/>
          <w:bCs/>
          <w:color w:val="auto"/>
          <w:sz w:val="32"/>
          <w:szCs w:val="32"/>
          <w:lang w:val="en-US" w:eastAsia="zh-CN"/>
        </w:rPr>
        <w:t>推动</w:t>
      </w:r>
      <w:r>
        <w:rPr>
          <w:rFonts w:hint="eastAsia" w:ascii="仿宋" w:hAnsi="仿宋" w:eastAsia="仿宋" w:cs="仿宋"/>
          <w:bCs/>
          <w:color w:val="auto"/>
          <w:sz w:val="32"/>
          <w:szCs w:val="32"/>
        </w:rPr>
        <w:t>各项工作取得新进展。</w:t>
      </w:r>
    </w:p>
    <w:p w14:paraId="5038CEE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color w:val="auto"/>
          <w:sz w:val="32"/>
          <w:szCs w:val="32"/>
        </w:rPr>
      </w:pPr>
      <w:r>
        <w:rPr>
          <w:rFonts w:hint="eastAsia" w:ascii="宋体" w:hAnsi="宋体" w:eastAsia="宋体" w:cs="宋体"/>
          <w:b/>
          <w:color w:val="auto"/>
          <w:sz w:val="32"/>
          <w:szCs w:val="32"/>
        </w:rPr>
        <w:t>一、主动服务大局，展现检察担当</w:t>
      </w:r>
    </w:p>
    <w:p w14:paraId="05DC9727">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hAnsi="仿宋_GB2312" w:eastAsia="仿宋_GB2312" w:cs="仿宋_GB2312"/>
          <w:bCs/>
          <w:color w:val="auto"/>
          <w:sz w:val="32"/>
          <w:szCs w:val="32"/>
        </w:rPr>
      </w:pPr>
      <w:r>
        <w:rPr>
          <w:rFonts w:hint="eastAsia" w:ascii="楷体" w:hAnsi="楷体" w:eastAsia="楷体" w:cs="楷体"/>
          <w:b/>
          <w:color w:val="auto"/>
          <w:sz w:val="32"/>
          <w:szCs w:val="32"/>
          <w:lang w:eastAsia="zh-CN"/>
        </w:rPr>
        <w:t>助力</w:t>
      </w:r>
      <w:r>
        <w:rPr>
          <w:rFonts w:hint="eastAsia" w:ascii="楷体" w:hAnsi="楷体" w:eastAsia="楷体" w:cs="楷体"/>
          <w:b/>
          <w:color w:val="auto"/>
          <w:sz w:val="32"/>
          <w:szCs w:val="32"/>
        </w:rPr>
        <w:t>做好党的二十大维稳安保工作。</w:t>
      </w:r>
      <w:r>
        <w:rPr>
          <w:rFonts w:hint="eastAsia" w:ascii="仿宋" w:hAnsi="仿宋" w:eastAsia="仿宋" w:cs="仿宋"/>
          <w:bCs/>
          <w:color w:val="auto"/>
          <w:sz w:val="32"/>
          <w:szCs w:val="32"/>
        </w:rPr>
        <w:t>强化总体国家安全观</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维护国家政治安全，把防风险、保安全、护稳定、促发展融入检察各项工作全过程、各环节。成立维稳专项工作小组，制定维稳安保工作方案，扎实做好司法办案安全保障</w:t>
      </w:r>
      <w:r>
        <w:rPr>
          <w:rFonts w:hint="eastAsia" w:ascii="仿宋" w:hAnsi="仿宋" w:eastAsia="仿宋" w:cs="仿宋"/>
          <w:bCs/>
          <w:color w:val="auto"/>
          <w:sz w:val="32"/>
          <w:szCs w:val="32"/>
          <w:lang w:eastAsia="zh-CN"/>
        </w:rPr>
        <w:t>，</w:t>
      </w:r>
      <w:r>
        <w:rPr>
          <w:rFonts w:hint="eastAsia" w:ascii="仿宋" w:hAnsi="仿宋" w:eastAsia="仿宋" w:cs="仿宋"/>
          <w:bCs/>
          <w:color w:val="auto"/>
          <w:sz w:val="32"/>
          <w:szCs w:val="32"/>
        </w:rPr>
        <w:t>排查防范化解涉检矛盾，派员参</w:t>
      </w:r>
      <w:r>
        <w:rPr>
          <w:rFonts w:hint="eastAsia" w:ascii="仿宋" w:hAnsi="仿宋" w:eastAsia="仿宋" w:cs="仿宋"/>
          <w:bCs/>
          <w:color w:val="auto"/>
          <w:sz w:val="32"/>
          <w:szCs w:val="32"/>
          <w:lang w:val="en-US" w:eastAsia="zh-CN"/>
        </w:rPr>
        <w:t>与</w:t>
      </w:r>
      <w:r>
        <w:rPr>
          <w:rFonts w:hint="eastAsia" w:ascii="仿宋" w:hAnsi="仿宋" w:eastAsia="仿宋" w:cs="仿宋"/>
          <w:bCs/>
          <w:color w:val="auto"/>
          <w:sz w:val="32"/>
          <w:szCs w:val="32"/>
        </w:rPr>
        <w:t>全国“两会”、二十大期间控访维稳，得到相关部门好评。</w:t>
      </w:r>
    </w:p>
    <w:p w14:paraId="7448EDE6">
      <w:pPr>
        <w:keepNext w:val="0"/>
        <w:keepLines w:val="0"/>
        <w:pageBreakBefore w:val="0"/>
        <w:widowControl w:val="0"/>
        <w:numPr>
          <w:ilvl w:val="0"/>
          <w:numId w:val="0"/>
        </w:numPr>
        <w:kinsoku/>
        <w:wordWrap/>
        <w:overflowPunct/>
        <w:topLinePunct/>
        <w:autoSpaceDE/>
        <w:autoSpaceDN/>
        <w:bidi w:val="0"/>
        <w:adjustRightInd/>
        <w:snapToGrid/>
        <w:spacing w:beforeAutospacing="0" w:afterAutospacing="0" w:line="240" w:lineRule="auto"/>
        <w:ind w:firstLine="643" w:firstLineChars="200"/>
        <w:textAlignment w:val="auto"/>
        <w:rPr>
          <w:rFonts w:hint="eastAsia" w:ascii="仿宋" w:hAnsi="仿宋" w:eastAsia="仿宋" w:cs="仿宋"/>
          <w:i w:val="0"/>
          <w:iCs w:val="0"/>
          <w:caps w:val="0"/>
          <w:color w:val="auto"/>
          <w:spacing w:val="0"/>
          <w:sz w:val="32"/>
          <w:szCs w:val="32"/>
        </w:rPr>
      </w:pPr>
      <w:r>
        <w:rPr>
          <w:rFonts w:hint="eastAsia" w:ascii="楷体" w:hAnsi="楷体" w:eastAsia="楷体" w:cs="楷体"/>
          <w:b/>
          <w:color w:val="auto"/>
          <w:sz w:val="32"/>
          <w:szCs w:val="32"/>
          <w:lang w:eastAsia="zh-CN"/>
        </w:rPr>
        <w:t>助力法治化营商环境建设。</w:t>
      </w:r>
      <w:r>
        <w:rPr>
          <w:rFonts w:hint="eastAsia" w:ascii="仿宋" w:hAnsi="仿宋" w:eastAsia="仿宋" w:cs="仿宋"/>
          <w:bCs/>
          <w:color w:val="auto"/>
          <w:sz w:val="32"/>
          <w:szCs w:val="32"/>
        </w:rPr>
        <w:t>依法强化对民营企业的平等保护，</w:t>
      </w:r>
      <w:r>
        <w:rPr>
          <w:rFonts w:hint="eastAsia" w:ascii="仿宋" w:hAnsi="仿宋" w:eastAsia="仿宋" w:cs="仿宋"/>
          <w:bCs/>
          <w:color w:val="auto"/>
          <w:sz w:val="32"/>
          <w:szCs w:val="32"/>
          <w:lang w:val="en-US" w:eastAsia="zh-CN"/>
        </w:rPr>
        <w:t>成立涉企服务协调保障专班，建立</w:t>
      </w:r>
      <w:r>
        <w:rPr>
          <w:rFonts w:hint="eastAsia" w:ascii="仿宋" w:hAnsi="仿宋" w:eastAsia="仿宋" w:cs="仿宋"/>
          <w:bCs/>
          <w:color w:val="auto"/>
          <w:sz w:val="32"/>
          <w:szCs w:val="32"/>
        </w:rPr>
        <w:t>检察机关与民营企业互联互通常态化机制</w:t>
      </w:r>
      <w:r>
        <w:rPr>
          <w:rFonts w:hint="eastAsia" w:ascii="仿宋" w:hAnsi="仿宋" w:eastAsia="仿宋" w:cs="仿宋"/>
          <w:i w:val="0"/>
          <w:iCs w:val="0"/>
          <w:caps w:val="0"/>
          <w:color w:val="auto"/>
          <w:spacing w:val="0"/>
          <w:sz w:val="32"/>
          <w:szCs w:val="32"/>
          <w:lang w:val="en-US" w:eastAsia="zh-CN"/>
        </w:rPr>
        <w:t>，与工商联建立紧密联系，拓展</w:t>
      </w:r>
      <w:r>
        <w:rPr>
          <w:rFonts w:hint="eastAsia" w:ascii="仿宋" w:hAnsi="仿宋" w:eastAsia="仿宋" w:cs="仿宋"/>
          <w:b w:val="0"/>
          <w:bCs w:val="0"/>
          <w:color w:val="auto"/>
          <w:sz w:val="32"/>
          <w:szCs w:val="32"/>
        </w:rPr>
        <w:t>“服务企业联系点”</w:t>
      </w:r>
      <w:r>
        <w:rPr>
          <w:rFonts w:hint="eastAsia" w:ascii="仿宋" w:hAnsi="仿宋" w:eastAsia="仿宋" w:cs="仿宋"/>
          <w:b w:val="0"/>
          <w:bCs w:val="0"/>
          <w:color w:val="auto"/>
          <w:sz w:val="32"/>
          <w:szCs w:val="32"/>
          <w:lang w:val="en-US" w:eastAsia="zh-CN"/>
        </w:rPr>
        <w:t>，继续深入</w:t>
      </w:r>
      <w:r>
        <w:rPr>
          <w:rFonts w:hint="eastAsia" w:ascii="仿宋" w:hAnsi="仿宋" w:eastAsia="仿宋" w:cs="仿宋"/>
          <w:color w:val="auto"/>
          <w:sz w:val="32"/>
          <w:szCs w:val="32"/>
        </w:rPr>
        <w:t>开展“检察蓝护航创业者”活动，</w:t>
      </w:r>
      <w:r>
        <w:rPr>
          <w:rFonts w:hint="eastAsia" w:ascii="仿宋" w:hAnsi="仿宋" w:eastAsia="仿宋" w:cs="仿宋"/>
          <w:b w:val="0"/>
          <w:bCs w:val="0"/>
          <w:color w:val="auto"/>
          <w:sz w:val="32"/>
          <w:szCs w:val="32"/>
          <w:lang w:val="en-US" w:eastAsia="zh-CN"/>
        </w:rPr>
        <w:t>检察官深入企业开展问需献策和法治咨询共47人次</w:t>
      </w:r>
      <w:r>
        <w:rPr>
          <w:rFonts w:hint="eastAsia" w:ascii="仿宋" w:hAnsi="仿宋" w:eastAsia="仿宋" w:cs="仿宋"/>
          <w:color w:val="auto"/>
          <w:sz w:val="32"/>
          <w:szCs w:val="32"/>
        </w:rPr>
        <w:t>。</w:t>
      </w:r>
      <w:r>
        <w:rPr>
          <w:rFonts w:hint="eastAsia" w:ascii="仿宋" w:hAnsi="仿宋" w:eastAsia="仿宋" w:cs="仿宋"/>
          <w:color w:val="auto"/>
          <w:sz w:val="32"/>
          <w:szCs w:val="32"/>
          <w:lang w:eastAsia="zh-CN"/>
        </w:rPr>
        <w:t>严厉打击侵害企业权益的犯罪活动，起诉</w:t>
      </w:r>
      <w:r>
        <w:rPr>
          <w:rFonts w:hint="eastAsia" w:ascii="仿宋" w:hAnsi="仿宋" w:eastAsia="仿宋" w:cs="仿宋"/>
          <w:color w:val="auto"/>
          <w:sz w:val="32"/>
          <w:szCs w:val="32"/>
          <w:lang w:val="en-US" w:eastAsia="zh-CN"/>
        </w:rPr>
        <w:t>5人，依法保护企业经营者合法权益，</w:t>
      </w:r>
      <w:r>
        <w:rPr>
          <w:rFonts w:hint="eastAsia" w:ascii="仿宋" w:hAnsi="仿宋" w:eastAsia="仿宋" w:cs="仿宋"/>
          <w:color w:val="auto"/>
          <w:sz w:val="32"/>
          <w:szCs w:val="32"/>
          <w:lang w:eastAsia="zh-CN"/>
        </w:rPr>
        <w:t>对</w:t>
      </w:r>
      <w:r>
        <w:rPr>
          <w:rFonts w:hint="eastAsia" w:ascii="仿宋" w:hAnsi="仿宋" w:eastAsia="仿宋" w:cs="仿宋"/>
          <w:color w:val="auto"/>
          <w:sz w:val="32"/>
          <w:szCs w:val="32"/>
          <w:lang w:val="en-US" w:eastAsia="zh-CN"/>
        </w:rPr>
        <w:t>2名涉罪</w:t>
      </w:r>
      <w:r>
        <w:rPr>
          <w:rFonts w:hint="eastAsia" w:ascii="仿宋" w:hAnsi="仿宋" w:eastAsia="仿宋" w:cs="仿宋"/>
          <w:color w:val="auto"/>
          <w:sz w:val="32"/>
          <w:szCs w:val="32"/>
          <w:lang w:eastAsia="zh-CN"/>
        </w:rPr>
        <w:t>民营企业负责人进行羁押必要性审查，及时变更了强制措施。</w:t>
      </w:r>
      <w:bookmarkStart w:id="0" w:name="_GoBack"/>
      <w:bookmarkEnd w:id="0"/>
    </w:p>
    <w:p w14:paraId="7B2A91B1">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Fonts w:hint="eastAsia" w:ascii="仿宋" w:hAnsi="仿宋" w:eastAsia="仿宋" w:cs="仿宋"/>
          <w:color w:val="auto"/>
          <w:sz w:val="32"/>
          <w:szCs w:val="32"/>
          <w:lang w:val="en-US" w:eastAsia="zh-CN"/>
        </w:rPr>
      </w:pPr>
      <w:r>
        <w:rPr>
          <w:rFonts w:hint="eastAsia" w:ascii="楷体" w:hAnsi="楷体" w:eastAsia="楷体" w:cs="楷体"/>
          <w:b/>
          <w:color w:val="auto"/>
          <w:sz w:val="32"/>
          <w:szCs w:val="32"/>
          <w:lang w:eastAsia="zh-CN"/>
        </w:rPr>
        <w:t>助力化解重大金融风险。</w:t>
      </w:r>
      <w:r>
        <w:rPr>
          <w:rFonts w:hint="eastAsia" w:ascii="仿宋" w:hAnsi="仿宋" w:eastAsia="仿宋" w:cs="仿宋"/>
          <w:bCs/>
          <w:color w:val="auto"/>
          <w:sz w:val="32"/>
          <w:szCs w:val="32"/>
          <w:lang w:val="en-US" w:eastAsia="zh-CN"/>
        </w:rPr>
        <w:t>成立清偿金融机构不良贷款工作专班，梳理研判贷款诈骗、骗取贷款、违法发放贷款等金融犯罪案件，依法重点打击恶意逃避债务、拖欠贷款、扰乱金融秩序的违法行为，有力化解不良信贷风险，助力营造良好县域金融环境。办理破坏金融管理秩序犯罪案件6件11人。通过办案，多措并举追赃挽损，共挽回经济损失2000余万元。</w:t>
      </w:r>
      <w:r>
        <w:rPr>
          <w:rFonts w:hint="eastAsia" w:ascii="仿宋" w:hAnsi="仿宋" w:eastAsia="仿宋" w:cs="仿宋"/>
          <w:color w:val="auto"/>
          <w:sz w:val="32"/>
          <w:szCs w:val="32"/>
          <w:lang w:val="en-US" w:eastAsia="zh-CN"/>
        </w:rPr>
        <w:t>办理相关企业及卢某某骗取贷款案，为义县锦银村镇银行挽回经济损失100万元；办理黄某某、孟某某骗取贷款案，通过积极有效工作，犯罪嫌疑人目前已提交土地使用权及房屋所有权以偿还欠款，目前在法院执行环节，预估可抵全部涉案款项1800万元。</w:t>
      </w:r>
    </w:p>
    <w:p w14:paraId="79F88268">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二、坚持为民司法，强化民生保障</w:t>
      </w:r>
    </w:p>
    <w:p w14:paraId="39DDBE52">
      <w:pPr>
        <w:keepNext w:val="0"/>
        <w:keepLines w:val="0"/>
        <w:pageBreakBefore w:val="0"/>
        <w:widowControl w:val="0"/>
        <w:numPr>
          <w:ilvl w:val="0"/>
          <w:numId w:val="0"/>
        </w:numPr>
        <w:kinsoku/>
        <w:wordWrap/>
        <w:overflowPunct/>
        <w:topLinePunct/>
        <w:autoSpaceDE/>
        <w:autoSpaceDN/>
        <w:bidi w:val="0"/>
        <w:adjustRightInd/>
        <w:snapToGrid/>
        <w:spacing w:line="240" w:lineRule="auto"/>
        <w:ind w:firstLine="643" w:firstLineChars="200"/>
        <w:textAlignment w:val="auto"/>
        <w:rPr>
          <w:rFonts w:ascii="仿宋_GB2312" w:hAnsi="仿宋_GB2312" w:eastAsia="仿宋_GB2312" w:cs="仿宋_GB2312"/>
          <w:bCs/>
          <w:color w:val="auto"/>
          <w:sz w:val="32"/>
          <w:szCs w:val="32"/>
        </w:rPr>
      </w:pPr>
      <w:r>
        <w:rPr>
          <w:rFonts w:hint="eastAsia" w:ascii="楷体" w:hAnsi="楷体" w:eastAsia="楷体" w:cs="楷体"/>
          <w:b/>
          <w:color w:val="auto"/>
          <w:sz w:val="32"/>
          <w:szCs w:val="32"/>
          <w:lang w:eastAsia="zh-CN"/>
        </w:rPr>
        <w:t>依法严厉打击各类刑事犯罪。</w:t>
      </w:r>
      <w:r>
        <w:rPr>
          <w:rFonts w:hint="eastAsia" w:ascii="仿宋" w:hAnsi="仿宋" w:eastAsia="仿宋" w:cs="仿宋"/>
          <w:bCs/>
          <w:color w:val="auto"/>
          <w:sz w:val="32"/>
          <w:szCs w:val="32"/>
          <w:lang w:val="en-US" w:eastAsia="zh-CN"/>
        </w:rPr>
        <w:t>进一步巩固扫黑除恶成果，深入推进常态化工作。依法惩治严重危害公共安全、妨碍社会管理秩序、侵犯公民人身权利和财产权利的黄赌毒、盗抢骗、食药环等犯罪行为，批捕相关嫌疑人33人，起诉92人；重点打击电信网络诈骗犯罪，批捕4人并全部起诉；积极开展打击惩治养老诈骗专项工作，</w:t>
      </w:r>
      <w:r>
        <w:rPr>
          <w:rFonts w:hint="eastAsia" w:ascii="仿宋" w:hAnsi="仿宋" w:eastAsia="仿宋" w:cs="仿宋"/>
          <w:color w:val="auto"/>
          <w:sz w:val="32"/>
          <w:szCs w:val="32"/>
          <w:lang w:val="en-US" w:eastAsia="zh-CN"/>
        </w:rPr>
        <w:t>办理案件1件2人，丰富宣传手段和宣传内容，增扩宣传覆盖面，深入村屯，向老年人宣传防诈知识，增强防诈意识。与法院联合开展以“守住钱袋子、护好幸福家”的宣传活动。</w:t>
      </w:r>
      <w:r>
        <w:rPr>
          <w:rFonts w:hint="eastAsia" w:ascii="仿宋" w:hAnsi="仿宋" w:eastAsia="仿宋" w:cs="仿宋"/>
          <w:bCs/>
          <w:color w:val="auto"/>
          <w:sz w:val="32"/>
          <w:szCs w:val="32"/>
          <w:lang w:val="en-US" w:eastAsia="zh-CN"/>
        </w:rPr>
        <w:t>完善监检衔接机制，办理职务犯罪案件7件7人，全部提起公诉。</w:t>
      </w:r>
    </w:p>
    <w:p w14:paraId="413D1A1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color w:val="auto"/>
          <w:kern w:val="2"/>
          <w:sz w:val="32"/>
          <w:szCs w:val="32"/>
          <w:lang w:val="en-US" w:eastAsia="zh-CN" w:bidi="ar-SA"/>
        </w:rPr>
      </w:pPr>
      <w:r>
        <w:rPr>
          <w:rFonts w:hint="eastAsia" w:ascii="楷体" w:hAnsi="楷体" w:eastAsia="楷体" w:cs="楷体"/>
          <w:b/>
          <w:color w:val="auto"/>
          <w:sz w:val="32"/>
          <w:szCs w:val="32"/>
          <w:lang w:val="en-US" w:eastAsia="zh-CN"/>
        </w:rPr>
        <w:t>强化未成年人综合司法保护。</w:t>
      </w:r>
      <w:r>
        <w:rPr>
          <w:rFonts w:hint="eastAsia" w:ascii="仿宋" w:hAnsi="仿宋" w:eastAsia="仿宋" w:cs="仿宋"/>
          <w:bCs/>
          <w:color w:val="auto"/>
          <w:kern w:val="2"/>
          <w:sz w:val="32"/>
          <w:szCs w:val="32"/>
          <w:lang w:val="en-US" w:eastAsia="zh-CN" w:bidi="ar-SA"/>
        </w:rPr>
        <w:t>严厉打击侵害未成年人犯罪，批捕10人，起诉13人。依法保护未成年人犯罪嫌疑人合法权益，对涉罪未成年人不批捕2人。强化对未成年人的综合保护，开展家庭教育指导10人次，对每一个涉罪未成年人均申请法律援助，心理测评疏导10人，向失职监护人发出督促监护令10份。对一起侵犯智障未成年人案被害者进行司法救助，发放司法救助金3万元。推动全社会共同关爱未成年人健康成长，11名检察人员担任学校“法治副校长”，开展“法治进校园”“法治进乡村”活动。针对校园门口交通安全设施隐患及未成年人入住宾馆、日租房等问题，制发检察建议3份，收到良好效果。</w:t>
      </w:r>
    </w:p>
    <w:p w14:paraId="673C491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color w:val="auto"/>
          <w:kern w:val="2"/>
          <w:sz w:val="32"/>
          <w:szCs w:val="32"/>
          <w:lang w:val="en-US" w:eastAsia="zh-CN" w:bidi="ar-SA"/>
        </w:rPr>
      </w:pPr>
      <w:r>
        <w:rPr>
          <w:rFonts w:hint="eastAsia" w:ascii="楷体" w:hAnsi="楷体" w:eastAsia="楷体" w:cs="楷体"/>
          <w:b/>
          <w:color w:val="auto"/>
          <w:sz w:val="32"/>
          <w:szCs w:val="32"/>
          <w:lang w:val="en-US" w:eastAsia="zh-CN"/>
        </w:rPr>
        <w:t>主动参与社会综合治理。</w:t>
      </w:r>
      <w:r>
        <w:rPr>
          <w:rFonts w:hint="eastAsia" w:ascii="仿宋" w:hAnsi="仿宋" w:eastAsia="仿宋" w:cs="仿宋"/>
          <w:bCs/>
          <w:color w:val="auto"/>
          <w:kern w:val="2"/>
          <w:sz w:val="32"/>
          <w:szCs w:val="32"/>
          <w:lang w:val="en-US" w:eastAsia="zh-CN" w:bidi="ar-SA"/>
        </w:rPr>
        <w:t>健全涉检维稳风险隐患摸排和线索衔接机制，综合运用领导包案、公开听证、司法救助等方式，推动解决合理诉求，努力达成息访息诉。全年受理群众举报、控告、申诉案件线索12件，均及时办理答复，回复率、办结率均达100％。秉持治罪与治理融合理念，围绕群众“舌尖安全”“脚下安全”“寄递安全”等民生痛点和群众关注点，结合司法办案实践，以我“管”促“都管”，让每一份检察建议都写满担当。针对司法办案发现的部门、行业监管和基层社会治理问题和隐患，制发检察建议书和检察意见书20余份，堵塞监督管理漏洞，助推社会治理能力提升。积极参与政法干警下基层等活动，选派40名检察干警下沉至乡镇，进行排查分析研判检察监督线索、矛盾调处、法律援助、司法救助、法治宣传等网格工作，助力基层治理。</w:t>
      </w:r>
      <w:r>
        <w:rPr>
          <w:rFonts w:hint="eastAsia" w:ascii="仿宋" w:hAnsi="仿宋" w:eastAsia="仿宋" w:cs="Times New Roman"/>
          <w:b w:val="0"/>
          <w:bCs/>
          <w:color w:val="auto"/>
          <w:kern w:val="2"/>
          <w:sz w:val="32"/>
          <w:szCs w:val="32"/>
          <w:lang w:val="en-US" w:eastAsia="zh-CN" w:bidi="ar-SA"/>
        </w:rPr>
        <w:t>深入开展国家司法救助工作，建立多元化救助格局</w:t>
      </w:r>
      <w:r>
        <w:rPr>
          <w:rFonts w:hint="eastAsia" w:ascii="仿宋" w:hAnsi="仿宋" w:eastAsia="仿宋" w:cs="仿宋"/>
          <w:bCs/>
          <w:color w:val="auto"/>
          <w:kern w:val="2"/>
          <w:sz w:val="32"/>
          <w:szCs w:val="32"/>
          <w:lang w:val="en-US" w:eastAsia="zh-CN" w:bidi="ar-SA"/>
        </w:rPr>
        <w:t>，使司法救助走深走实，办理司法救助案件11件12人，发放司法救助金24万元，已基本形成“应救尽救”司法救助大格局。</w:t>
      </w:r>
    </w:p>
    <w:p w14:paraId="3AFE0A4E">
      <w:pPr>
        <w:keepNext w:val="0"/>
        <w:keepLines w:val="0"/>
        <w:pageBreakBefore w:val="0"/>
        <w:widowControl w:val="0"/>
        <w:tabs>
          <w:tab w:val="left" w:pos="720"/>
        </w:tabs>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三、维护公平正义，提升监督质效</w:t>
      </w:r>
    </w:p>
    <w:p w14:paraId="4E035E90">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Fonts w:hint="eastAsia" w:ascii="仿宋" w:hAnsi="仿宋" w:eastAsia="仿宋" w:cs="仿宋"/>
          <w:bCs/>
          <w:color w:val="auto"/>
          <w:kern w:val="2"/>
          <w:sz w:val="32"/>
          <w:szCs w:val="32"/>
          <w:lang w:val="en-US" w:eastAsia="zh-CN" w:bidi="ar-SA"/>
        </w:rPr>
      </w:pPr>
      <w:r>
        <w:rPr>
          <w:rFonts w:hint="eastAsia" w:ascii="楷体" w:hAnsi="楷体" w:eastAsia="楷体" w:cs="楷体"/>
          <w:b/>
          <w:color w:val="auto"/>
          <w:sz w:val="32"/>
          <w:szCs w:val="32"/>
          <w:lang w:val="en-US" w:eastAsia="zh-CN"/>
        </w:rPr>
        <w:t>刑事检察持续优化。</w:t>
      </w:r>
      <w:r>
        <w:rPr>
          <w:rFonts w:hint="eastAsia" w:ascii="仿宋" w:hAnsi="仿宋" w:eastAsia="仿宋" w:cs="仿宋"/>
          <w:bCs/>
          <w:color w:val="auto"/>
          <w:kern w:val="2"/>
          <w:sz w:val="32"/>
          <w:szCs w:val="32"/>
          <w:lang w:val="en-US" w:eastAsia="zh-CN" w:bidi="ar-SA"/>
        </w:rPr>
        <w:t>深入落实少捕慎诉慎押刑事司法政策，推进认罪认罚从宽制度适用，最大限度减少社会对立面，促进社会内生稳定。认罪认罚从宽适用率达到95.2%，对无社会危险性犯罪不批捕100人，不捕率66.3%，对情节轻微犯罪不起诉50人，不诉率16.7%。强化诉讼监督，监督立案12件、监督撤案5件、纠正侦查活动违法17件。依法对2起案件提请抗诉，法院全部改判。瞄准刑事检察数据“风向标”，用好“案－件比”核心指标，努力压减“内生案件”，“案－件比”始终处于合理区间，审前羁押率、速裁程序适用率、捕后轻缓刑率位于全省前列。</w:t>
      </w:r>
      <w:r>
        <w:rPr>
          <w:rFonts w:hint="eastAsia" w:ascii="仿宋" w:hAnsi="仿宋" w:eastAsia="仿宋" w:cs="仿宋"/>
          <w:i w:val="0"/>
          <w:iCs w:val="0"/>
          <w:caps w:val="0"/>
          <w:color w:val="auto"/>
          <w:spacing w:val="0"/>
          <w:sz w:val="32"/>
          <w:szCs w:val="32"/>
          <w:shd w:val="clear" w:color="auto" w:fill="FFFFFF"/>
          <w:lang w:eastAsia="zh-CN"/>
        </w:rPr>
        <w:t>在全市率先建立了刑事赔偿保证金制度，</w:t>
      </w:r>
      <w:r>
        <w:rPr>
          <w:rFonts w:hint="eastAsia" w:ascii="仿宋" w:hAnsi="仿宋" w:eastAsia="仿宋" w:cs="仿宋"/>
          <w:i w:val="0"/>
          <w:iCs w:val="0"/>
          <w:caps w:val="0"/>
          <w:color w:val="auto"/>
          <w:spacing w:val="0"/>
          <w:sz w:val="32"/>
          <w:szCs w:val="32"/>
          <w:shd w:val="clear" w:color="auto" w:fill="FFFFFF"/>
        </w:rPr>
        <w:t>有力促进了矛盾化解、社会和谐。</w:t>
      </w:r>
      <w:r>
        <w:rPr>
          <w:rFonts w:hint="eastAsia" w:ascii="仿宋" w:hAnsi="仿宋" w:eastAsia="仿宋" w:cs="仿宋"/>
          <w:i w:val="0"/>
          <w:iCs w:val="0"/>
          <w:caps w:val="0"/>
          <w:color w:val="auto"/>
          <w:spacing w:val="0"/>
          <w:sz w:val="32"/>
          <w:szCs w:val="32"/>
          <w:shd w:val="clear" w:color="auto" w:fill="FFFFFF"/>
          <w:lang w:eastAsia="zh-CN"/>
        </w:rPr>
        <w:t>尝试建立</w:t>
      </w:r>
      <w:r>
        <w:rPr>
          <w:rFonts w:hint="eastAsia" w:ascii="仿宋" w:hAnsi="仿宋" w:eastAsia="仿宋" w:cs="仿宋"/>
          <w:bCs/>
          <w:color w:val="auto"/>
          <w:kern w:val="2"/>
          <w:sz w:val="32"/>
          <w:szCs w:val="32"/>
          <w:lang w:val="en-US" w:eastAsia="zh-CN" w:bidi="ar-SA"/>
        </w:rPr>
        <w:t>部门间线索移送及同步审查机制，发挥法律监督整体效能。与县公安局共同设立侦查监督与协作配合办公室，</w:t>
      </w:r>
      <w:r>
        <w:rPr>
          <w:rFonts w:hint="eastAsia" w:ascii="仿宋" w:hAnsi="仿宋" w:eastAsia="仿宋" w:cs="仿宋"/>
          <w:i w:val="0"/>
          <w:iCs w:val="0"/>
          <w:caps w:val="0"/>
          <w:color w:val="auto"/>
          <w:spacing w:val="0"/>
          <w:sz w:val="32"/>
          <w:szCs w:val="32"/>
          <w:shd w:val="clear" w:color="auto" w:fill="FFFFFF"/>
          <w:lang w:val="en-US" w:eastAsia="zh-CN"/>
        </w:rPr>
        <w:t>加强侦查监督的时效性和针对性</w:t>
      </w:r>
      <w:r>
        <w:rPr>
          <w:rFonts w:hint="eastAsia" w:ascii="仿宋" w:hAnsi="仿宋" w:eastAsia="仿宋" w:cs="仿宋"/>
          <w:bCs/>
          <w:color w:val="auto"/>
          <w:kern w:val="2"/>
          <w:sz w:val="32"/>
          <w:szCs w:val="32"/>
          <w:lang w:val="en-US" w:eastAsia="zh-CN" w:bidi="ar-SA"/>
        </w:rPr>
        <w:t>。监督行政执法部门向侦查机关移送涉嫌犯罪线索8件。向监所发出纠正违法通知书28件，调查核实司法工作人员职务犯罪线索1件，全覆盖开展2轮社区矫正检察，参加市院组织看守所巡回检察1次。</w:t>
      </w:r>
    </w:p>
    <w:p w14:paraId="26B239D3">
      <w:pPr>
        <w:keepNext w:val="0"/>
        <w:keepLines w:val="0"/>
        <w:pageBreakBefore w:val="0"/>
        <w:widowControl w:val="0"/>
        <w:kinsoku/>
        <w:wordWrap/>
        <w:overflowPunct/>
        <w:topLinePunct w:val="0"/>
        <w:autoSpaceDE/>
        <w:autoSpaceDN/>
        <w:bidi w:val="0"/>
        <w:adjustRightInd/>
        <w:snapToGrid/>
        <w:spacing w:line="240" w:lineRule="auto"/>
        <w:ind w:firstLine="630" w:firstLineChars="196"/>
        <w:textAlignment w:val="auto"/>
        <w:rPr>
          <w:rFonts w:hint="eastAsia" w:ascii="仿宋" w:hAnsi="仿宋" w:eastAsia="仿宋" w:cs="仿宋"/>
          <w:bCs/>
          <w:color w:val="FF0000"/>
          <w:kern w:val="2"/>
          <w:sz w:val="32"/>
          <w:szCs w:val="32"/>
          <w:lang w:val="en-US" w:eastAsia="zh-CN" w:bidi="ar-SA"/>
        </w:rPr>
      </w:pPr>
      <w:r>
        <w:rPr>
          <w:rFonts w:hint="eastAsia" w:ascii="楷体" w:hAnsi="楷体" w:eastAsia="楷体" w:cs="楷体"/>
          <w:b/>
          <w:color w:val="auto"/>
          <w:sz w:val="32"/>
          <w:szCs w:val="32"/>
          <w:lang w:val="en-US" w:eastAsia="zh-CN"/>
        </w:rPr>
        <w:t>民事检察逐渐强化。</w:t>
      </w:r>
      <w:r>
        <w:rPr>
          <w:rFonts w:hint="eastAsia" w:ascii="仿宋" w:hAnsi="仿宋" w:eastAsia="仿宋" w:cs="仿宋"/>
          <w:bCs/>
          <w:color w:val="auto"/>
          <w:kern w:val="2"/>
          <w:sz w:val="32"/>
          <w:szCs w:val="32"/>
          <w:lang w:val="en-US" w:eastAsia="zh-CN" w:bidi="ar-SA"/>
        </w:rPr>
        <w:t>坚持民事检察为人民，用心用情办理群众身边的每一个“小案”。办理民事审判行为违法监督案件15件，民事结果裁判监督2件，办理民事执行监督案件18件，办理支持起诉案件15件。推进省检察院“公开听证促和解”专项活动，我院从群众的“身边案”入手，成功化解4件矛盾纠纷案件，从实际出发为当事人化解矛盾，减少诉累，保护双方当事人合法权益，收到了良好的社会效果和法律效果。向法院发出再审检察建议2件。</w:t>
      </w:r>
    </w:p>
    <w:p w14:paraId="5880C35F">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color w:val="auto"/>
          <w:kern w:val="2"/>
          <w:sz w:val="32"/>
          <w:szCs w:val="32"/>
          <w:lang w:val="en-US" w:eastAsia="zh-CN" w:bidi="ar-SA"/>
        </w:rPr>
      </w:pPr>
      <w:r>
        <w:rPr>
          <w:rFonts w:hint="eastAsia" w:ascii="楷体" w:hAnsi="楷体" w:eastAsia="楷体" w:cs="楷体"/>
          <w:b/>
          <w:color w:val="auto"/>
          <w:sz w:val="32"/>
          <w:szCs w:val="32"/>
          <w:lang w:val="en-US" w:eastAsia="zh-CN"/>
        </w:rPr>
        <w:t>行政检察务实稳进。</w:t>
      </w:r>
      <w:r>
        <w:rPr>
          <w:rFonts w:hint="eastAsia" w:ascii="仿宋" w:hAnsi="仿宋" w:eastAsia="仿宋" w:cs="仿宋"/>
          <w:bCs/>
          <w:color w:val="auto"/>
          <w:kern w:val="2"/>
          <w:sz w:val="32"/>
          <w:szCs w:val="32"/>
          <w:lang w:val="en-US" w:eastAsia="zh-CN" w:bidi="ar-SA"/>
        </w:rPr>
        <w:t>深入贯彻《人民检察院行政诉讼监督规则》，完善沟通协调工作机制，促进行政机关依法行政。办理审判行为违法监督2件，办理行政非诉执行案件17件，对行政机关发出纠正违法检察建议3件，公开听证4次，开展行政争议实质性化解、行政非诉执行监督等专项活动，努力实现“案结事了政和”。</w:t>
      </w:r>
    </w:p>
    <w:p w14:paraId="0469522F">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default" w:ascii="微软雅黑" w:hAnsi="微软雅黑" w:eastAsia="微软雅黑" w:cs="微软雅黑"/>
          <w:i w:val="0"/>
          <w:iCs w:val="0"/>
          <w:caps w:val="0"/>
          <w:color w:val="auto"/>
          <w:spacing w:val="0"/>
          <w:sz w:val="18"/>
          <w:szCs w:val="18"/>
          <w:lang w:val="en-US"/>
        </w:rPr>
      </w:pPr>
      <w:r>
        <w:rPr>
          <w:rFonts w:hint="eastAsia" w:ascii="楷体" w:hAnsi="楷体" w:eastAsia="楷体" w:cs="楷体"/>
          <w:b/>
          <w:color w:val="auto"/>
          <w:sz w:val="32"/>
          <w:szCs w:val="32"/>
          <w:lang w:val="en-US" w:eastAsia="zh-CN"/>
        </w:rPr>
        <w:t>公益诉讼运作良好。</w:t>
      </w:r>
      <w:r>
        <w:rPr>
          <w:rFonts w:hint="eastAsia" w:ascii="仿宋" w:hAnsi="仿宋" w:eastAsia="仿宋" w:cs="Times New Roman"/>
          <w:b w:val="0"/>
          <w:bCs/>
          <w:color w:val="auto"/>
          <w:kern w:val="2"/>
          <w:sz w:val="32"/>
          <w:szCs w:val="32"/>
          <w:lang w:val="en-US" w:eastAsia="zh-CN" w:bidi="ar-SA"/>
        </w:rPr>
        <w:t>立案65件,</w:t>
      </w:r>
      <w:r>
        <w:rPr>
          <w:rFonts w:hint="eastAsia" w:ascii="仿宋" w:hAnsi="仿宋" w:eastAsia="仿宋" w:cs="仿宋"/>
          <w:b w:val="0"/>
          <w:bCs/>
          <w:color w:val="auto"/>
          <w:kern w:val="2"/>
          <w:sz w:val="32"/>
          <w:szCs w:val="32"/>
          <w:lang w:val="en-US" w:eastAsia="zh-CN" w:bidi="ar-SA"/>
        </w:rPr>
        <w:t>重点办</w:t>
      </w:r>
      <w:r>
        <w:rPr>
          <w:rFonts w:hint="eastAsia" w:ascii="仿宋" w:hAnsi="仿宋" w:eastAsia="仿宋" w:cs="仿宋"/>
          <w:bCs/>
          <w:color w:val="auto"/>
          <w:kern w:val="2"/>
          <w:sz w:val="32"/>
          <w:szCs w:val="32"/>
          <w:lang w:val="en-US" w:eastAsia="zh-CN" w:bidi="ar-SA"/>
        </w:rPr>
        <w:t>理生态环境、生产安全、食品药品、国有资产等重点领域，</w:t>
      </w:r>
      <w:r>
        <w:rPr>
          <w:rFonts w:hint="eastAsia" w:ascii="仿宋_GB2312" w:hAnsi="微软雅黑" w:eastAsia="仿宋_GB2312" w:cs="仿宋_GB2312"/>
          <w:i w:val="0"/>
          <w:iCs w:val="0"/>
          <w:caps w:val="0"/>
          <w:color w:val="auto"/>
          <w:spacing w:val="0"/>
          <w:kern w:val="0"/>
          <w:sz w:val="32"/>
          <w:szCs w:val="32"/>
          <w:shd w:val="clear" w:fill="FFFFFF"/>
          <w:vertAlign w:val="baseline"/>
          <w:lang w:val="en-US" w:eastAsia="zh-CN" w:bidi="ar"/>
        </w:rPr>
        <w:t>在办理督促整治中药饮片药品安全行政公益诉讼案中，邀约相关单位和专业人员参加听证会，制发检察建议，对辖区内13家卫生院中药饮片不规范情况进行整改，县卫生健康局下发《关于加强医院中药饮片管理的通知》，确保中药饮片的规范有序经营，该案件已被选为辽宁省检察机关典型案例。</w:t>
      </w:r>
    </w:p>
    <w:p w14:paraId="7959FF3F">
      <w:pPr>
        <w:keepNext w:val="0"/>
        <w:keepLines w:val="0"/>
        <w:pageBreakBefore w:val="0"/>
        <w:widowControl w:val="0"/>
        <w:tabs>
          <w:tab w:val="left" w:pos="720"/>
        </w:tabs>
        <w:kinsoku/>
        <w:wordWrap/>
        <w:overflowPunct/>
        <w:topLinePunct w:val="0"/>
        <w:autoSpaceDE/>
        <w:autoSpaceDN/>
        <w:bidi w:val="0"/>
        <w:adjustRightInd/>
        <w:snapToGrid/>
        <w:spacing w:line="240" w:lineRule="auto"/>
        <w:ind w:firstLine="643" w:firstLineChars="200"/>
        <w:textAlignment w:val="auto"/>
        <w:rPr>
          <w:rFonts w:hint="eastAsia" w:ascii="宋体" w:hAnsi="宋体" w:eastAsia="宋体" w:cs="宋体"/>
          <w:b/>
          <w:bCs/>
          <w:color w:val="auto"/>
          <w:sz w:val="32"/>
          <w:szCs w:val="32"/>
        </w:rPr>
      </w:pPr>
      <w:r>
        <w:rPr>
          <w:rFonts w:hint="eastAsia" w:ascii="宋体" w:hAnsi="宋体" w:eastAsia="宋体" w:cs="宋体"/>
          <w:b/>
          <w:bCs/>
          <w:color w:val="auto"/>
          <w:sz w:val="32"/>
          <w:szCs w:val="32"/>
        </w:rPr>
        <w:t>四、夯实自身建设，打造过硬队伍</w:t>
      </w:r>
    </w:p>
    <w:p w14:paraId="23B7331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政治建设引领作用充分发挥。</w:t>
      </w:r>
      <w:r>
        <w:rPr>
          <w:rFonts w:hint="eastAsia" w:ascii="仿宋" w:hAnsi="仿宋" w:eastAsia="仿宋" w:cs="仿宋"/>
          <w:bCs/>
          <w:color w:val="auto"/>
          <w:kern w:val="2"/>
          <w:sz w:val="32"/>
          <w:szCs w:val="32"/>
          <w:lang w:val="en-US" w:eastAsia="zh-CN" w:bidi="ar-SA"/>
        </w:rPr>
        <w:t>始终把政治建设放在首位，抓在日常严在经常，把党的绝对领导体现在检察履职全过程、各环节。深入学习党的创新理论，推进党史学习教育常态化，促进党建与业务深度融合，构建“党组+支部”双线学习教育模式，开展学习研讨12次，引导检察人员强化政治担当，在疫情防控、文明创建、服务民企等方面，党组织战斗堡垒和党员先锋模范作用得以发挥。严格落实“三重一大”工作议事规则，主动向县委、县委政法委和市检察院报告工作5次。</w:t>
      </w:r>
    </w:p>
    <w:p w14:paraId="12144061">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643" w:firstLineChars="200"/>
        <w:textAlignment w:val="auto"/>
        <w:rPr>
          <w:rFonts w:hint="eastAsia" w:ascii="仿宋" w:hAnsi="仿宋" w:eastAsia="仿宋" w:cs="仿宋"/>
          <w:bCs/>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纪律作风建设持续优化。</w:t>
      </w:r>
      <w:r>
        <w:rPr>
          <w:rFonts w:hint="eastAsia" w:ascii="仿宋" w:hAnsi="仿宋" w:eastAsia="仿宋" w:cs="仿宋"/>
          <w:bCs/>
          <w:color w:val="auto"/>
          <w:kern w:val="2"/>
          <w:sz w:val="32"/>
          <w:szCs w:val="32"/>
          <w:lang w:val="en-US" w:eastAsia="zh-CN" w:bidi="ar-SA"/>
        </w:rPr>
        <w:t>严格落实党风廉政建设主体责任和班子成员“一岗双责”，持续巩固检察队伍教育整顿成果。党组召开党风廉政教育专题民主生活会3次，开展运用违纪违法案件以案为鉴、以案促改系列教育活动，围绕政治纪律、工作纪律进行检务督察4次。全面深化执行“三个规定”等重大事项记录报告制度，稳步推行案件集中管理评查督察机制，完善检察权运行制约监督机制，切实做到受警醒、明底线、知敬畏，树立检察人员清正廉洁良好形象。</w:t>
      </w:r>
    </w:p>
    <w:p w14:paraId="303D8E67">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643"/>
        <w:textAlignment w:val="auto"/>
        <w:rPr>
          <w:rFonts w:hint="eastAsia" w:ascii="仿宋" w:hAnsi="仿宋" w:eastAsia="仿宋" w:cs="仿宋"/>
          <w:bCs/>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检察人员综合素能逐步提高。</w:t>
      </w:r>
      <w:r>
        <w:rPr>
          <w:rFonts w:hint="eastAsia" w:ascii="仿宋" w:hAnsi="仿宋" w:eastAsia="仿宋" w:cs="仿宋"/>
          <w:bCs/>
          <w:color w:val="auto"/>
          <w:kern w:val="2"/>
          <w:sz w:val="32"/>
          <w:szCs w:val="32"/>
          <w:lang w:val="en-US" w:eastAsia="zh-CN" w:bidi="ar-SA"/>
        </w:rPr>
        <w:t>深化研讨培训活动，增强司法理念、法律适用、法律职业共识。组织检察人员参加上级院业务培训学习8次45人次，参加线上培训15次65人次；院内组织各类培训10项45人次，积极开展“青蓝工程”计划，以老带新，提高干警综合素质。紧密结合“检答网”、指导性案例、典型案例及时跟进学习，切实提高检察干警法治思维能力和专业知识素养，落实青年干警选拔培养使用机制，使年轻干警走向领导岗位。在2022年全市法律文书评选中，我院3份法律文书获得奖项，占全市奖项的30%。3名干警在2022年第七届公诉人竞赛中荣获“优秀公诉人”称号。2名干警荣获锦州市检察系统先进个人，我院获评市级优秀基层检察院。</w:t>
      </w:r>
    </w:p>
    <w:p w14:paraId="3B114BEB">
      <w:pPr>
        <w:pStyle w:val="11"/>
        <w:keepNext w:val="0"/>
        <w:keepLines w:val="0"/>
        <w:pageBreakBefore w:val="0"/>
        <w:widowControl w:val="0"/>
        <w:kinsoku/>
        <w:wordWrap/>
        <w:overflowPunct/>
        <w:topLinePunct w:val="0"/>
        <w:autoSpaceDE/>
        <w:autoSpaceDN/>
        <w:bidi w:val="0"/>
        <w:adjustRightInd/>
        <w:snapToGrid/>
        <w:spacing w:after="0" w:line="240" w:lineRule="auto"/>
        <w:ind w:left="0" w:leftChars="0" w:firstLine="643"/>
        <w:textAlignment w:val="auto"/>
        <w:rPr>
          <w:rFonts w:hint="eastAsia" w:ascii="仿宋" w:hAnsi="仿宋" w:eastAsia="仿宋" w:cs="仿宋"/>
          <w:bCs/>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检察形象进一步提升。</w:t>
      </w:r>
      <w:r>
        <w:rPr>
          <w:rFonts w:hint="eastAsia" w:ascii="仿宋" w:hAnsi="仿宋" w:eastAsia="仿宋" w:cs="仿宋"/>
          <w:b w:val="0"/>
          <w:bCs/>
          <w:color w:val="auto"/>
          <w:kern w:val="2"/>
          <w:sz w:val="32"/>
          <w:szCs w:val="32"/>
          <w:lang w:val="en-US" w:eastAsia="zh-CN" w:bidi="ar-SA"/>
        </w:rPr>
        <w:t>把加强执法规范化作为检察工作重点和目标，强化学习教育，健全工作机制，确保干警理性、平和、文明、规范执法。构建环境文化、行为文化和精神文化，</w:t>
      </w:r>
      <w:r>
        <w:rPr>
          <w:rFonts w:hint="eastAsia" w:ascii="仿宋" w:hAnsi="仿宋" w:eastAsia="仿宋" w:cs="仿宋"/>
          <w:bCs/>
          <w:color w:val="auto"/>
          <w:kern w:val="2"/>
          <w:sz w:val="32"/>
          <w:szCs w:val="32"/>
          <w:lang w:val="en-US" w:eastAsia="zh-CN" w:bidi="ar-SA"/>
        </w:rPr>
        <w:t>充分发挥“两微一端”新媒体优势，用检察故事“吸睛”“圈粉”，通过公众号、头条、微博、抖音等向社会公开检察动态1000余次，编发原创宣传稿件100余篇，制作主题视频1部，5篇稿件在省级以上媒体平台转发。1人荣获全国宣传先进个人，我院荣获全国检察宣传先进单位。</w:t>
      </w:r>
    </w:p>
    <w:p w14:paraId="36616CC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接受外部监督有序拓展。</w:t>
      </w:r>
      <w:r>
        <w:rPr>
          <w:rFonts w:hint="eastAsia" w:ascii="仿宋" w:hAnsi="仿宋" w:eastAsia="仿宋" w:cs="仿宋"/>
          <w:bCs/>
          <w:color w:val="auto"/>
          <w:kern w:val="2"/>
          <w:sz w:val="32"/>
          <w:szCs w:val="32"/>
          <w:lang w:val="en-US" w:eastAsia="zh-CN" w:bidi="ar-SA"/>
        </w:rPr>
        <w:t>主动接受人大依法监督，专题向县人大常委会报告我院控告申诉检察工作开展情况。自觉接受政协民主监督，主动通报工作情况。主动邀请人大代表、政协委员参与检察听证、出庭公诉、司法救助、检察开放日等工作和活动20余次，零距离感受理解检察工作，更好保障人民群众对检察工作的知情权、参与权和监督权。公开案件程序性信息92条，法律文书24份，接待律师阅卷61次，办案工作透明度越来越高。</w:t>
      </w:r>
    </w:p>
    <w:p w14:paraId="5E3C5EA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color w:val="auto"/>
          <w:kern w:val="2"/>
          <w:sz w:val="32"/>
          <w:szCs w:val="32"/>
          <w:lang w:val="en-US" w:eastAsia="zh-CN" w:bidi="ar-SA"/>
        </w:rPr>
      </w:pPr>
      <w:r>
        <w:rPr>
          <w:rFonts w:hint="eastAsia" w:ascii="仿宋" w:hAnsi="仿宋" w:eastAsia="仿宋" w:cs="Times New Roman"/>
          <w:b/>
          <w:color w:val="auto"/>
          <w:kern w:val="2"/>
          <w:sz w:val="32"/>
          <w:szCs w:val="32"/>
          <w:lang w:val="en-US" w:eastAsia="zh-CN" w:bidi="ar-SA"/>
        </w:rPr>
        <w:t>各位代表：</w:t>
      </w:r>
      <w:r>
        <w:rPr>
          <w:rFonts w:hint="eastAsia" w:ascii="仿宋" w:hAnsi="仿宋" w:eastAsia="仿宋" w:cs="仿宋"/>
          <w:bCs/>
          <w:color w:val="auto"/>
          <w:kern w:val="2"/>
          <w:sz w:val="32"/>
          <w:szCs w:val="32"/>
          <w:lang w:val="en-US" w:eastAsia="zh-CN" w:bidi="ar-SA"/>
        </w:rPr>
        <w:t>一年来，义县检察取得的成绩离不开县委和上级院坚强领导、县人大有力监督、县政府大力支持、县政协民主监督以及各位代表、各位委员和社会各界包括新闻媒体关心、理解和帮助。在此，我谨代表县检察院表示衷心的感谢和崇高的敬意！我们清醒地认识到与党中央关于加强新时代检察机关法律监督工作部署要求和人民群众对民主、法治、公平、正义、安全、环境更多更高需求相比，检察工作还有一定差距和不足。</w:t>
      </w:r>
      <w:r>
        <w:rPr>
          <w:rFonts w:hint="eastAsia" w:ascii="仿宋" w:hAnsi="仿宋" w:eastAsia="仿宋" w:cs="仿宋"/>
          <w:b/>
          <w:bCs w:val="0"/>
          <w:color w:val="auto"/>
          <w:kern w:val="2"/>
          <w:sz w:val="32"/>
          <w:szCs w:val="32"/>
          <w:lang w:val="en-US" w:eastAsia="zh-CN" w:bidi="ar-SA"/>
        </w:rPr>
        <w:t>一是</w:t>
      </w:r>
      <w:r>
        <w:rPr>
          <w:rFonts w:hint="eastAsia" w:ascii="仿宋" w:hAnsi="仿宋" w:eastAsia="仿宋" w:cs="仿宋"/>
          <w:bCs/>
          <w:color w:val="auto"/>
          <w:kern w:val="2"/>
          <w:sz w:val="32"/>
          <w:szCs w:val="32"/>
          <w:lang w:val="en-US" w:eastAsia="zh-CN" w:bidi="ar-SA"/>
        </w:rPr>
        <w:t>检察队伍司法理念、专业知识、素养能力还存在跟不上、不适应问题。</w:t>
      </w:r>
      <w:r>
        <w:rPr>
          <w:rFonts w:hint="eastAsia" w:ascii="仿宋" w:hAnsi="仿宋" w:eastAsia="仿宋" w:cs="仿宋"/>
          <w:b/>
          <w:bCs w:val="0"/>
          <w:color w:val="auto"/>
          <w:kern w:val="2"/>
          <w:sz w:val="32"/>
          <w:szCs w:val="32"/>
          <w:lang w:val="en-US" w:eastAsia="zh-CN" w:bidi="ar-SA"/>
        </w:rPr>
        <w:t>二是</w:t>
      </w:r>
      <w:r>
        <w:rPr>
          <w:rFonts w:hint="eastAsia" w:ascii="仿宋" w:hAnsi="仿宋" w:eastAsia="仿宋" w:cs="仿宋"/>
          <w:bCs/>
          <w:color w:val="auto"/>
          <w:kern w:val="2"/>
          <w:sz w:val="32"/>
          <w:szCs w:val="32"/>
          <w:lang w:val="en-US" w:eastAsia="zh-CN" w:bidi="ar-SA"/>
        </w:rPr>
        <w:t>检察一体化机制模式还不够完善，民事、行政检察短板、弱项还需进一步补齐加强。</w:t>
      </w:r>
      <w:r>
        <w:rPr>
          <w:rFonts w:hint="eastAsia" w:ascii="仿宋" w:hAnsi="仿宋" w:eastAsia="仿宋" w:cs="仿宋"/>
          <w:b/>
          <w:bCs w:val="0"/>
          <w:color w:val="auto"/>
          <w:kern w:val="2"/>
          <w:sz w:val="32"/>
          <w:szCs w:val="32"/>
          <w:lang w:val="en-US" w:eastAsia="zh-CN" w:bidi="ar-SA"/>
        </w:rPr>
        <w:t>三是</w:t>
      </w:r>
      <w:r>
        <w:rPr>
          <w:rFonts w:hint="eastAsia" w:ascii="仿宋" w:hAnsi="仿宋" w:eastAsia="仿宋" w:cs="仿宋"/>
          <w:b w:val="0"/>
          <w:bCs/>
          <w:color w:val="auto"/>
          <w:kern w:val="2"/>
          <w:sz w:val="32"/>
          <w:szCs w:val="32"/>
          <w:lang w:val="en-US" w:eastAsia="zh-CN" w:bidi="ar-SA"/>
        </w:rPr>
        <w:t>服务高质量发展的针对性、实效性还有不足，法律监督职能作用发挥有待提升</w:t>
      </w:r>
      <w:r>
        <w:rPr>
          <w:rFonts w:hint="eastAsia" w:ascii="仿宋" w:hAnsi="仿宋" w:eastAsia="仿宋" w:cs="仿宋"/>
          <w:bCs/>
          <w:color w:val="auto"/>
          <w:kern w:val="2"/>
          <w:sz w:val="32"/>
          <w:szCs w:val="32"/>
          <w:lang w:val="en-US" w:eastAsia="zh-CN" w:bidi="ar-SA"/>
        </w:rPr>
        <w:t>。</w:t>
      </w:r>
      <w:r>
        <w:rPr>
          <w:rFonts w:hint="eastAsia" w:ascii="仿宋" w:hAnsi="仿宋" w:eastAsia="仿宋" w:cs="仿宋"/>
          <w:b/>
          <w:bCs w:val="0"/>
          <w:color w:val="auto"/>
          <w:kern w:val="2"/>
          <w:sz w:val="32"/>
          <w:szCs w:val="32"/>
          <w:lang w:val="en-US" w:eastAsia="zh-CN" w:bidi="ar-SA"/>
        </w:rPr>
        <w:t>四是</w:t>
      </w:r>
      <w:r>
        <w:rPr>
          <w:rFonts w:hint="eastAsia" w:ascii="仿宋" w:hAnsi="仿宋" w:eastAsia="仿宋" w:cs="仿宋"/>
          <w:bCs/>
          <w:color w:val="auto"/>
          <w:kern w:val="2"/>
          <w:sz w:val="32"/>
          <w:szCs w:val="32"/>
          <w:lang w:val="en-US" w:eastAsia="zh-CN" w:bidi="ar-SA"/>
        </w:rPr>
        <w:t>适应智慧检务发展需求，检察大数据赋能法律监督软硬件条件亟待改善。以上问题，我们一定不回避、不退缩，出实招，使足劲，坚持通过深化检察改革来破难题、解新题、谋发展。</w:t>
      </w:r>
    </w:p>
    <w:p w14:paraId="2BF1DDD3">
      <w:pPr>
        <w:pStyle w:val="2"/>
        <w:keepNext w:val="0"/>
        <w:keepLines w:val="0"/>
        <w:pageBreakBefore w:val="0"/>
        <w:widowControl w:val="0"/>
        <w:kinsoku/>
        <w:wordWrap/>
        <w:overflowPunct/>
        <w:autoSpaceDE/>
        <w:autoSpaceDN/>
        <w:bidi w:val="0"/>
        <w:adjustRightInd/>
        <w:snapToGrid/>
        <w:textAlignment w:val="auto"/>
        <w:rPr>
          <w:rFonts w:hint="eastAsia"/>
          <w:lang w:val="en-US" w:eastAsia="zh-CN"/>
        </w:rPr>
      </w:pPr>
    </w:p>
    <w:p w14:paraId="702862E8">
      <w:pPr>
        <w:keepNext w:val="0"/>
        <w:keepLines w:val="0"/>
        <w:pageBreakBefore w:val="0"/>
        <w:widowControl w:val="0"/>
        <w:tabs>
          <w:tab w:val="left" w:pos="810"/>
        </w:tabs>
        <w:kinsoku/>
        <w:wordWrap/>
        <w:overflowPunct/>
        <w:topLinePunct w:val="0"/>
        <w:autoSpaceDE/>
        <w:autoSpaceDN/>
        <w:bidi w:val="0"/>
        <w:adjustRightInd/>
        <w:snapToGrid/>
        <w:spacing w:line="320" w:lineRule="atLeast"/>
        <w:jc w:val="center"/>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2023年主要工作安排</w:t>
      </w:r>
    </w:p>
    <w:p w14:paraId="62F3D420">
      <w:pPr>
        <w:pStyle w:val="2"/>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rPr>
      </w:pPr>
    </w:p>
    <w:p w14:paraId="7DAC0EB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
          <w:bCs w:val="0"/>
          <w:color w:val="auto"/>
          <w:kern w:val="2"/>
          <w:sz w:val="32"/>
          <w:szCs w:val="32"/>
          <w:lang w:val="en-US" w:eastAsia="zh-CN" w:bidi="ar-SA"/>
        </w:rPr>
      </w:pPr>
      <w:r>
        <w:rPr>
          <w:rFonts w:hint="eastAsia" w:ascii="仿宋" w:hAnsi="仿宋" w:eastAsia="仿宋" w:cs="仿宋"/>
          <w:b/>
          <w:bCs w:val="0"/>
          <w:color w:val="auto"/>
          <w:kern w:val="2"/>
          <w:sz w:val="32"/>
          <w:szCs w:val="32"/>
          <w:lang w:val="en-US" w:eastAsia="zh-CN" w:bidi="ar-SA"/>
        </w:rPr>
        <w:t>总体工作思路是：以习近平新时代中国特色社会主义思想为指导，全面贯彻党的二十大及二十届一中全会精神和习近平法治思想，持续落实《中共中央关于加强新时代检察机关法律监督工作的意见》，紧紧围绕义县全方位发展目标，找准为大局服务、为人民司法的切入点和着力点，不断提升法律监督质效，以检察工作高质量发展服务保障义县经济社会高质量发展，为服务保障推进中国式现代化义县进程贡献检察力量。</w:t>
      </w:r>
    </w:p>
    <w:p w14:paraId="63A7B3B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一是坚持党的创新理论武装，全面学习贯彻落实二十大精神。</w:t>
      </w:r>
      <w:r>
        <w:rPr>
          <w:rFonts w:hint="eastAsia" w:ascii="仿宋" w:hAnsi="仿宋" w:eastAsia="仿宋" w:cs="仿宋"/>
          <w:bCs/>
          <w:color w:val="auto"/>
          <w:kern w:val="2"/>
          <w:sz w:val="32"/>
          <w:szCs w:val="32"/>
          <w:lang w:val="en-US" w:eastAsia="zh-CN" w:bidi="ar-SA"/>
        </w:rPr>
        <w:t>把学习宣传贯彻党的二十大精神摆上重要议事日程，压实领导责任，把握正确导向，融入日常学习教育，贯穿各项检察工作始终。通过领导带学、专题研学、测试评学、实践检学方式，原原本本、融会贯通、深学深悟，准确把握党的二十大精神实质和精髓要义，确保全体检察人员将党的二十大精神真正融于心、铸于魂、践于行。</w:t>
      </w:r>
    </w:p>
    <w:p w14:paraId="35058D9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二是坚持党的绝对领导，彰显服务大局新作为。</w:t>
      </w:r>
      <w:r>
        <w:rPr>
          <w:rFonts w:hint="eastAsia" w:ascii="仿宋" w:hAnsi="仿宋" w:eastAsia="仿宋" w:cs="仿宋"/>
          <w:bCs/>
          <w:color w:val="auto"/>
          <w:kern w:val="2"/>
          <w:sz w:val="32"/>
          <w:szCs w:val="32"/>
          <w:lang w:val="en-US" w:eastAsia="zh-CN" w:bidi="ar-SA"/>
        </w:rPr>
        <w:t>始终心怀“国之大者”，要把党的绝对领导贯彻检察履职全过程，找准检察机关服务县域经济社会发展的切入点和着力点，聚焦影响国家安全、社会安定、人民安宁的突出问题，推进扫黑除恶常态化，依法严惩群众反映强烈的各类违法犯罪活动，着力防范化解重大风险，坚定不移贯彻新发展理念，平等保护各类市场主体，努力为我县经济社会高质量发展营造良好法治环境。</w:t>
      </w:r>
    </w:p>
    <w:p w14:paraId="6B961E2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三是坚持以人民为中心思想，展现司法为民新担当。</w:t>
      </w:r>
      <w:r>
        <w:rPr>
          <w:rFonts w:hint="eastAsia" w:ascii="仿宋" w:hAnsi="仿宋" w:eastAsia="仿宋" w:cs="仿宋"/>
          <w:bCs/>
          <w:color w:val="auto"/>
          <w:kern w:val="2"/>
          <w:sz w:val="32"/>
          <w:szCs w:val="32"/>
          <w:lang w:val="en-US" w:eastAsia="zh-CN" w:bidi="ar-SA"/>
        </w:rPr>
        <w:t>采取更多惠民生、暖民心举措，着力解决好人民群众急难愁盼问题。常态化抓实群众信访“件件有回复”、未成年人司法保护、行政争议实质性化解、惩治食品药品安全犯罪、打击整治养老诈骗。推动诉源治理，化解社会矛盾。进一步开展好公开听证、公益诉讼、司法救助等各项检察为民实事，完善便民利民为民举措，努力让人民群众收获更多更实的幸福感、安全感。</w:t>
      </w:r>
    </w:p>
    <w:p w14:paraId="2B6AC3DA">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color w:val="auto"/>
          <w:sz w:val="32"/>
          <w:szCs w:val="32"/>
        </w:rPr>
      </w:pPr>
      <w:r>
        <w:rPr>
          <w:rFonts w:hint="eastAsia" w:ascii="楷体" w:hAnsi="楷体" w:eastAsia="楷体" w:cs="楷体"/>
          <w:b/>
          <w:color w:val="auto"/>
          <w:kern w:val="2"/>
          <w:sz w:val="32"/>
          <w:szCs w:val="32"/>
          <w:lang w:val="en-US" w:eastAsia="zh-CN" w:bidi="ar-SA"/>
        </w:rPr>
        <w:t>四是坚持维护公平正义，取得法律监督新成效。</w:t>
      </w:r>
      <w:r>
        <w:rPr>
          <w:rFonts w:hint="eastAsia" w:ascii="仿宋" w:hAnsi="仿宋" w:eastAsia="仿宋" w:cs="仿宋"/>
          <w:bCs/>
          <w:color w:val="auto"/>
          <w:kern w:val="2"/>
          <w:sz w:val="32"/>
          <w:szCs w:val="32"/>
          <w:lang w:val="en-US" w:eastAsia="zh-CN" w:bidi="ar-SA"/>
        </w:rPr>
        <w:t>推动构建义县检察一体化工作格局，深入落实认罪认罚从宽制度和少捕慎诉慎押刑事司法政策，改进监督方式、提升监督刚性，强化对执法司法活动的监督，针对个案、类案反映的苗头性、倾向性、深层次矛盾问题精准监督，更好维护司法公正。持续推进刑事、民事、行政、公益诉讼检察工作全面协调充分发展，解决法治领域人民群众反映强烈的突出问题，努力让人民群众在每一个司法案件中感受到公平正义。</w:t>
      </w:r>
    </w:p>
    <w:p w14:paraId="1EAABB20">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仿宋"/>
          <w:bCs/>
          <w:color w:val="auto"/>
          <w:kern w:val="2"/>
          <w:sz w:val="32"/>
          <w:szCs w:val="32"/>
          <w:lang w:val="en-US" w:eastAsia="zh-CN" w:bidi="ar-SA"/>
        </w:rPr>
      </w:pPr>
      <w:r>
        <w:rPr>
          <w:rFonts w:hint="eastAsia" w:ascii="楷体" w:hAnsi="楷体" w:eastAsia="楷体" w:cs="楷体"/>
          <w:b/>
          <w:color w:val="auto"/>
          <w:kern w:val="2"/>
          <w:sz w:val="32"/>
          <w:szCs w:val="32"/>
          <w:lang w:val="en-US" w:eastAsia="zh-CN" w:bidi="ar-SA"/>
        </w:rPr>
        <w:t>五是坚持党建业务融合发展，呈现检察队伍新气象。</w:t>
      </w:r>
      <w:r>
        <w:rPr>
          <w:rFonts w:hint="eastAsia" w:ascii="仿宋" w:hAnsi="仿宋" w:eastAsia="仿宋" w:cs="仿宋"/>
          <w:bCs/>
          <w:color w:val="auto"/>
          <w:kern w:val="2"/>
          <w:sz w:val="32"/>
          <w:szCs w:val="32"/>
          <w:lang w:val="en-US" w:eastAsia="zh-CN" w:bidi="ar-SA"/>
        </w:rPr>
        <w:t>要认真落实新时代党的建设总要求，一体加强检察机关政治建设、业务建设和职业道德建设，深入学习贯彻党章，坚持严管和厚爱相结合，持续巩固深化党史学习教育和检察队伍教育整顿成果，不断深化检察机关党风廉政建设和反腐败工作。常态化开展警示教育，深刻吸取政法系统严重违纪违法案件教训，持续从严落实防止干预司法“三个规定”。一体推进全面从严治党和鼓励担当作为，锻造忠诚干净担当的过硬检察队伍。</w:t>
      </w:r>
    </w:p>
    <w:p w14:paraId="7BD4284C">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olor w:val="auto"/>
          <w:sz w:val="32"/>
          <w:szCs w:val="32"/>
        </w:rPr>
      </w:pPr>
      <w:r>
        <w:rPr>
          <w:rFonts w:hint="eastAsia" w:ascii="仿宋" w:hAnsi="仿宋" w:eastAsia="仿宋" w:cs="Times New Roman"/>
          <w:b/>
          <w:color w:val="auto"/>
          <w:kern w:val="2"/>
          <w:sz w:val="32"/>
          <w:szCs w:val="32"/>
          <w:lang w:val="en-US" w:eastAsia="zh-CN" w:bidi="ar-SA"/>
        </w:rPr>
        <w:t>各位代表：</w:t>
      </w:r>
      <w:r>
        <w:rPr>
          <w:rFonts w:hint="eastAsia" w:ascii="仿宋_GB2312" w:hAnsi="微软雅黑" w:eastAsia="仿宋_GB2312" w:cs="仿宋_GB2312"/>
          <w:i w:val="0"/>
          <w:iCs w:val="0"/>
          <w:caps w:val="0"/>
          <w:color w:val="auto"/>
          <w:spacing w:val="0"/>
          <w:kern w:val="0"/>
          <w:sz w:val="32"/>
          <w:szCs w:val="32"/>
          <w:shd w:val="clear" w:fill="FFFFFF"/>
          <w:vertAlign w:val="baseline"/>
          <w:lang w:val="en-US" w:eastAsia="zh-CN" w:bidi="ar"/>
        </w:rPr>
        <w:t>风雨多经志弥坚，关山初度路尤长</w:t>
      </w:r>
      <w:r>
        <w:rPr>
          <w:rFonts w:hint="eastAsia" w:ascii="仿宋" w:hAnsi="仿宋" w:eastAsia="仿宋" w:cs="仿宋"/>
          <w:bCs/>
          <w:color w:val="auto"/>
          <w:kern w:val="2"/>
          <w:sz w:val="32"/>
          <w:szCs w:val="32"/>
          <w:lang w:val="en-US" w:eastAsia="zh-CN" w:bidi="ar-SA"/>
        </w:rPr>
        <w:t>。义县检察院将在县委和市检察院坚强领导下，深入贯彻落实党的二十大精神，认真执行本次大会决议，自信自强、守正创新、踔厉奋发、勇毅前行，</w:t>
      </w:r>
      <w:r>
        <w:rPr>
          <w:rFonts w:hint="eastAsia" w:ascii="仿宋" w:hAnsi="仿宋" w:eastAsia="仿宋" w:cs="仿宋"/>
          <w:i w:val="0"/>
          <w:iCs w:val="0"/>
          <w:caps w:val="0"/>
          <w:color w:val="auto"/>
          <w:spacing w:val="0"/>
          <w:sz w:val="32"/>
          <w:szCs w:val="32"/>
          <w:shd w:val="clear" w:color="auto" w:fill="FFFFFF"/>
          <w:lang w:val="en-US" w:eastAsia="zh-CN"/>
        </w:rPr>
        <w:t>讲好检察故事，彰显义县检察特色，</w:t>
      </w:r>
      <w:r>
        <w:rPr>
          <w:rFonts w:hint="eastAsia" w:ascii="仿宋" w:hAnsi="仿宋" w:eastAsia="仿宋" w:cs="仿宋"/>
          <w:bCs/>
          <w:color w:val="auto"/>
          <w:kern w:val="2"/>
          <w:sz w:val="32"/>
          <w:szCs w:val="32"/>
          <w:lang w:val="en-US" w:eastAsia="zh-CN" w:bidi="ar-SA"/>
        </w:rPr>
        <w:t>在新征程上奋力谱写义县检察工作高质量发展新篇章。</w:t>
      </w:r>
    </w:p>
    <w:p w14:paraId="2C2F36A9">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p>
    <w:p w14:paraId="7EE215D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olor w:val="auto"/>
          <w:sz w:val="32"/>
          <w:szCs w:val="32"/>
        </w:rPr>
      </w:pPr>
      <w:r>
        <w:rPr>
          <w:rFonts w:hint="eastAsia" w:ascii="仿宋" w:hAnsi="仿宋" w:eastAsia="仿宋"/>
          <w:color w:val="auto"/>
          <w:sz w:val="32"/>
          <w:szCs w:val="32"/>
        </w:rPr>
        <w:t>附件：《</w:t>
      </w:r>
      <w:r>
        <w:rPr>
          <w:rFonts w:hint="eastAsia" w:ascii="仿宋" w:hAnsi="仿宋" w:eastAsia="仿宋"/>
          <w:color w:val="auto"/>
          <w:sz w:val="32"/>
          <w:szCs w:val="32"/>
          <w:lang w:val="en-US" w:eastAsia="zh-CN"/>
        </w:rPr>
        <w:t>义</w:t>
      </w:r>
      <w:r>
        <w:rPr>
          <w:rFonts w:hint="eastAsia" w:ascii="仿宋" w:hAnsi="仿宋" w:eastAsia="仿宋"/>
          <w:color w:val="auto"/>
          <w:sz w:val="32"/>
          <w:szCs w:val="32"/>
        </w:rPr>
        <w:t>县人民检察院工作报告》用语解读</w:t>
      </w:r>
    </w:p>
    <w:p w14:paraId="7AC7F6F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sz w:val="44"/>
          <w:szCs w:val="44"/>
        </w:rPr>
      </w:pPr>
    </w:p>
    <w:p w14:paraId="63EB4CB3">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sz w:val="44"/>
          <w:szCs w:val="44"/>
        </w:rPr>
      </w:pPr>
    </w:p>
    <w:p w14:paraId="7280717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bCs/>
          <w:color w:val="auto"/>
          <w:sz w:val="44"/>
          <w:szCs w:val="44"/>
        </w:rPr>
      </w:pPr>
    </w:p>
    <w:p w14:paraId="7CD5D3AF">
      <w:pPr>
        <w:pStyle w:val="2"/>
        <w:keepNext w:val="0"/>
        <w:keepLines w:val="0"/>
        <w:pageBreakBefore w:val="0"/>
        <w:widowControl w:val="0"/>
        <w:kinsoku/>
        <w:wordWrap/>
        <w:overflowPunct/>
        <w:autoSpaceDE/>
        <w:autoSpaceDN/>
        <w:bidi w:val="0"/>
        <w:adjustRightInd/>
        <w:snapToGrid/>
        <w:textAlignment w:val="auto"/>
        <w:rPr>
          <w:rFonts w:hint="eastAsia" w:ascii="黑体" w:hAnsi="黑体" w:eastAsia="黑体" w:cs="黑体"/>
          <w:b/>
          <w:bCs/>
          <w:color w:val="auto"/>
          <w:sz w:val="44"/>
          <w:szCs w:val="44"/>
        </w:rPr>
      </w:pPr>
    </w:p>
    <w:p w14:paraId="15CB9607">
      <w:pPr>
        <w:keepNext w:val="0"/>
        <w:keepLines w:val="0"/>
        <w:pageBreakBefore w:val="0"/>
        <w:widowControl w:val="0"/>
        <w:kinsoku/>
        <w:wordWrap/>
        <w:overflowPunct/>
        <w:autoSpaceDE/>
        <w:autoSpaceDN/>
        <w:bidi w:val="0"/>
        <w:adjustRightInd/>
        <w:snapToGrid/>
        <w:textAlignment w:val="auto"/>
        <w:rPr>
          <w:rFonts w:hint="eastAsia" w:ascii="黑体" w:hAnsi="黑体" w:eastAsia="黑体" w:cs="黑体"/>
          <w:b/>
          <w:bCs/>
          <w:color w:val="auto"/>
          <w:sz w:val="44"/>
          <w:szCs w:val="44"/>
        </w:rPr>
      </w:pPr>
    </w:p>
    <w:p w14:paraId="012F4AD0">
      <w:pPr>
        <w:pStyle w:val="2"/>
        <w:keepNext w:val="0"/>
        <w:keepLines w:val="0"/>
        <w:pageBreakBefore w:val="0"/>
        <w:widowControl w:val="0"/>
        <w:kinsoku/>
        <w:wordWrap/>
        <w:overflowPunct/>
        <w:autoSpaceDE/>
        <w:autoSpaceDN/>
        <w:bidi w:val="0"/>
        <w:adjustRightInd/>
        <w:snapToGrid/>
        <w:textAlignment w:val="auto"/>
        <w:rPr>
          <w:rFonts w:hint="eastAsia"/>
        </w:rPr>
      </w:pPr>
    </w:p>
    <w:p w14:paraId="5AEAC87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44"/>
          <w:szCs w:val="44"/>
        </w:rPr>
      </w:pPr>
    </w:p>
    <w:p w14:paraId="7CCB7178">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宋体" w:hAnsi="宋体" w:eastAsia="宋体" w:cs="宋体"/>
          <w:b/>
          <w:bCs/>
          <w:color w:val="auto"/>
          <w:sz w:val="44"/>
          <w:szCs w:val="44"/>
        </w:rPr>
      </w:pPr>
    </w:p>
    <w:p w14:paraId="6A4497AC">
      <w:pPr>
        <w:pStyle w:val="2"/>
        <w:rPr>
          <w:rFonts w:hint="eastAsia" w:ascii="宋体" w:hAnsi="宋体" w:eastAsia="宋体" w:cs="宋体"/>
          <w:b/>
          <w:bCs/>
          <w:color w:val="auto"/>
          <w:sz w:val="44"/>
          <w:szCs w:val="44"/>
        </w:rPr>
      </w:pPr>
    </w:p>
    <w:p w14:paraId="3671F6C8">
      <w:pPr>
        <w:rPr>
          <w:rFonts w:hint="eastAsia"/>
        </w:rPr>
      </w:pPr>
    </w:p>
    <w:p w14:paraId="7C4B61E0">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b/>
          <w:bCs/>
          <w:color w:val="auto"/>
          <w:sz w:val="44"/>
          <w:szCs w:val="44"/>
        </w:rPr>
      </w:pPr>
    </w:p>
    <w:p w14:paraId="359EEF1C">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b/>
          <w:bCs/>
          <w:color w:val="auto"/>
          <w:sz w:val="44"/>
          <w:szCs w:val="44"/>
        </w:rPr>
      </w:pPr>
    </w:p>
    <w:p w14:paraId="61EEA8BB">
      <w:pPr>
        <w:keepNext w:val="0"/>
        <w:keepLines w:val="0"/>
        <w:pageBreakBefore w:val="0"/>
        <w:widowControl w:val="0"/>
        <w:kinsoku/>
        <w:wordWrap/>
        <w:overflowPunct/>
        <w:topLinePunct w:val="0"/>
        <w:autoSpaceDE/>
        <w:autoSpaceDN/>
        <w:bidi w:val="0"/>
        <w:adjustRightInd/>
        <w:snapToGrid/>
        <w:spacing w:line="320" w:lineRule="atLeast"/>
        <w:jc w:val="center"/>
        <w:textAlignment w:val="auto"/>
        <w:rPr>
          <w:rFonts w:hint="eastAsia" w:ascii="宋体" w:hAnsi="宋体" w:eastAsia="宋体" w:cs="宋体"/>
          <w:b/>
          <w:bCs/>
          <w:color w:val="auto"/>
          <w:sz w:val="44"/>
          <w:szCs w:val="44"/>
        </w:rPr>
      </w:pPr>
      <w:r>
        <w:rPr>
          <w:rFonts w:hint="eastAsia" w:ascii="宋体" w:hAnsi="宋体" w:eastAsia="宋体" w:cs="宋体"/>
          <w:b/>
          <w:bCs/>
          <w:color w:val="auto"/>
          <w:sz w:val="44"/>
          <w:szCs w:val="44"/>
        </w:rPr>
        <w:t>《</w:t>
      </w:r>
      <w:r>
        <w:rPr>
          <w:rFonts w:hint="eastAsia" w:ascii="宋体" w:hAnsi="宋体" w:eastAsia="宋体" w:cs="宋体"/>
          <w:b/>
          <w:bCs/>
          <w:color w:val="auto"/>
          <w:sz w:val="44"/>
          <w:szCs w:val="44"/>
          <w:lang w:val="en-US" w:eastAsia="zh-CN"/>
        </w:rPr>
        <w:t>义</w:t>
      </w:r>
      <w:r>
        <w:rPr>
          <w:rFonts w:hint="eastAsia" w:ascii="宋体" w:hAnsi="宋体" w:eastAsia="宋体" w:cs="宋体"/>
          <w:b/>
          <w:bCs/>
          <w:color w:val="auto"/>
          <w:sz w:val="44"/>
          <w:szCs w:val="44"/>
        </w:rPr>
        <w:t>县人民检察院工作报告》用语解读</w:t>
      </w:r>
    </w:p>
    <w:p w14:paraId="525B5436">
      <w:pPr>
        <w:keepNext w:val="0"/>
        <w:keepLines w:val="0"/>
        <w:pageBreakBefore w:val="0"/>
        <w:widowControl w:val="0"/>
        <w:kinsoku/>
        <w:wordWrap/>
        <w:overflowPunct/>
        <w:topLinePunct w:val="0"/>
        <w:autoSpaceDE/>
        <w:autoSpaceDN/>
        <w:bidi w:val="0"/>
        <w:adjustRightInd/>
        <w:snapToGrid/>
        <w:spacing w:line="320" w:lineRule="atLeast"/>
        <w:textAlignment w:val="auto"/>
        <w:rPr>
          <w:rFonts w:hint="eastAsia" w:ascii="仿宋" w:hAnsi="仿宋" w:eastAsia="仿宋"/>
          <w:color w:val="auto"/>
          <w:sz w:val="32"/>
          <w:szCs w:val="32"/>
        </w:rPr>
      </w:pPr>
    </w:p>
    <w:p w14:paraId="7326E265">
      <w:pPr>
        <w:keepNext w:val="0"/>
        <w:keepLines w:val="0"/>
        <w:pageBreakBefore w:val="0"/>
        <w:widowControl w:val="0"/>
        <w:kinsoku/>
        <w:wordWrap/>
        <w:overflowPunct/>
        <w:topLinePunct w:val="0"/>
        <w:autoSpaceDE/>
        <w:autoSpaceDN/>
        <w:bidi w:val="0"/>
        <w:adjustRightInd/>
        <w:snapToGrid/>
        <w:spacing w:line="320" w:lineRule="atLeast"/>
        <w:ind w:firstLine="643" w:firstLineChars="200"/>
        <w:textAlignment w:val="auto"/>
        <w:rPr>
          <w:rFonts w:hint="eastAsia" w:ascii="仿宋" w:hAnsi="仿宋" w:eastAsia="仿宋"/>
          <w:color w:val="auto"/>
          <w:sz w:val="32"/>
          <w:szCs w:val="32"/>
        </w:rPr>
      </w:pPr>
      <w:r>
        <w:rPr>
          <w:rFonts w:hint="eastAsia" w:ascii="仿宋" w:hAnsi="仿宋" w:eastAsia="仿宋"/>
          <w:b/>
          <w:bCs/>
          <w:color w:val="auto"/>
          <w:sz w:val="32"/>
          <w:szCs w:val="32"/>
        </w:rPr>
        <w:t>1、少捕慎诉慎押：</w:t>
      </w:r>
      <w:r>
        <w:rPr>
          <w:rFonts w:hint="eastAsia" w:ascii="仿宋" w:hAnsi="仿宋" w:eastAsia="仿宋"/>
          <w:color w:val="auto"/>
          <w:sz w:val="32"/>
          <w:szCs w:val="32"/>
        </w:rPr>
        <w:t>党和国家2021年确立的刑事司法政策，是指对绝大多数的轻罪案件体现当宽则宽，慎重羁押、追诉，加强对逮捕社会危险性的审查，依法能不捕的不捕，尽可能适用非羁押强制措施；依法行使起诉裁量权，对符合法定条件的适用相对不起诉；加强对羁押必要性的审查，及时变更、撤销不必要的羁押。</w:t>
      </w:r>
    </w:p>
    <w:p w14:paraId="13E344B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olor w:val="auto"/>
          <w:sz w:val="32"/>
          <w:szCs w:val="32"/>
        </w:rPr>
      </w:pPr>
      <w:r>
        <w:rPr>
          <w:rFonts w:hint="eastAsia" w:ascii="仿宋" w:hAnsi="仿宋" w:eastAsia="仿宋"/>
          <w:b/>
          <w:bCs/>
          <w:color w:val="auto"/>
          <w:sz w:val="32"/>
          <w:szCs w:val="32"/>
          <w:lang w:val="en-US" w:eastAsia="zh-CN"/>
        </w:rPr>
        <w:t>2</w:t>
      </w:r>
      <w:r>
        <w:rPr>
          <w:rFonts w:hint="eastAsia" w:ascii="仿宋" w:hAnsi="仿宋" w:eastAsia="仿宋"/>
          <w:b/>
          <w:bCs/>
          <w:color w:val="auto"/>
          <w:sz w:val="32"/>
          <w:szCs w:val="32"/>
        </w:rPr>
        <w:t>、相对不起诉：</w:t>
      </w:r>
      <w:r>
        <w:rPr>
          <w:rFonts w:hint="eastAsia" w:ascii="仿宋" w:hAnsi="仿宋" w:eastAsia="仿宋"/>
          <w:color w:val="auto"/>
          <w:sz w:val="32"/>
          <w:szCs w:val="32"/>
        </w:rPr>
        <w:t>《刑事诉讼法》第177条第2款规定，对于犯罪情节轻微，依照刑法规定不需要判处刑罚或者免除刑罚的，人民检察院可以作出不起诉的决定。</w:t>
      </w:r>
    </w:p>
    <w:p w14:paraId="35BDC7AD">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olor w:val="auto"/>
          <w:sz w:val="32"/>
          <w:szCs w:val="32"/>
        </w:rPr>
      </w:pPr>
      <w:r>
        <w:rPr>
          <w:rFonts w:hint="eastAsia" w:ascii="仿宋" w:hAnsi="仿宋" w:eastAsia="仿宋"/>
          <w:b/>
          <w:bCs/>
          <w:color w:val="auto"/>
          <w:sz w:val="32"/>
          <w:szCs w:val="32"/>
          <w:lang w:val="en-US" w:eastAsia="zh-CN"/>
        </w:rPr>
        <w:t>3</w:t>
      </w:r>
      <w:r>
        <w:rPr>
          <w:rFonts w:hint="eastAsia" w:ascii="仿宋" w:hAnsi="仿宋" w:eastAsia="仿宋"/>
          <w:b/>
          <w:bCs/>
          <w:color w:val="auto"/>
          <w:sz w:val="32"/>
          <w:szCs w:val="32"/>
        </w:rPr>
        <w:t>、公益诉讼：</w:t>
      </w:r>
      <w:r>
        <w:rPr>
          <w:rFonts w:hint="eastAsia" w:ascii="仿宋" w:hAnsi="仿宋" w:eastAsia="仿宋"/>
          <w:color w:val="auto"/>
          <w:sz w:val="32"/>
          <w:szCs w:val="32"/>
        </w:rPr>
        <w:t>包括行政公益诉讼和民事公益诉讼。对损害国家利益和社会公共利益行为，检察院经过诉前建议和公告程序后，行政机关没有依法履行职责或适格主体不提起诉讼的，可以国家公益诉讼起诉人身份向人民法院提起诉讼。</w:t>
      </w:r>
    </w:p>
    <w:p w14:paraId="602BF958">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olor w:val="auto"/>
          <w:sz w:val="32"/>
          <w:szCs w:val="32"/>
        </w:rPr>
      </w:pPr>
      <w:r>
        <w:rPr>
          <w:rFonts w:hint="eastAsia" w:ascii="仿宋" w:hAnsi="仿宋" w:eastAsia="仿宋"/>
          <w:b/>
          <w:bCs/>
          <w:color w:val="auto"/>
          <w:sz w:val="32"/>
          <w:szCs w:val="32"/>
          <w:lang w:val="en-US" w:eastAsia="zh-CN"/>
        </w:rPr>
        <w:t>4</w:t>
      </w:r>
      <w:r>
        <w:rPr>
          <w:rFonts w:hint="eastAsia" w:ascii="仿宋" w:hAnsi="仿宋" w:eastAsia="仿宋"/>
          <w:b/>
          <w:bCs/>
          <w:color w:val="auto"/>
          <w:sz w:val="32"/>
          <w:szCs w:val="32"/>
        </w:rPr>
        <w:t>、检察听证：</w:t>
      </w:r>
      <w:r>
        <w:rPr>
          <w:rFonts w:hint="eastAsia" w:ascii="仿宋" w:hAnsi="仿宋" w:eastAsia="仿宋"/>
          <w:color w:val="auto"/>
          <w:sz w:val="32"/>
          <w:szCs w:val="32"/>
        </w:rPr>
        <w:t>人民检察院对于符合条件的案件，组织召开听证会，就事实认定、法律适用和案件处理等问题听取听证员和其他参加人意见的案件审查活动。听证会上的评议意见是检察机关依法作出最终审查结论的重要参考。</w:t>
      </w:r>
    </w:p>
    <w:p w14:paraId="2EC03BD9">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olor w:val="auto"/>
          <w:sz w:val="32"/>
          <w:szCs w:val="32"/>
        </w:rPr>
      </w:pPr>
      <w:r>
        <w:rPr>
          <w:rFonts w:hint="eastAsia" w:ascii="仿宋" w:hAnsi="仿宋" w:eastAsia="仿宋"/>
          <w:b/>
          <w:bCs/>
          <w:color w:val="auto"/>
          <w:sz w:val="32"/>
          <w:szCs w:val="32"/>
          <w:lang w:val="en-US" w:eastAsia="zh-CN"/>
        </w:rPr>
        <w:t>5</w:t>
      </w:r>
      <w:r>
        <w:rPr>
          <w:rFonts w:hint="eastAsia" w:ascii="仿宋" w:hAnsi="仿宋" w:eastAsia="仿宋"/>
          <w:b/>
          <w:bCs/>
          <w:color w:val="auto"/>
          <w:sz w:val="32"/>
          <w:szCs w:val="32"/>
        </w:rPr>
        <w:t>、案</w:t>
      </w:r>
      <w:r>
        <w:rPr>
          <w:rFonts w:hint="eastAsia" w:ascii="仿宋" w:hAnsi="仿宋" w:eastAsia="仿宋"/>
          <w:b/>
          <w:bCs/>
          <w:color w:val="auto"/>
          <w:sz w:val="32"/>
          <w:szCs w:val="32"/>
          <w:lang w:eastAsia="zh-CN"/>
        </w:rPr>
        <w:t>－</w:t>
      </w:r>
      <w:r>
        <w:rPr>
          <w:rFonts w:hint="eastAsia" w:ascii="仿宋" w:hAnsi="仿宋" w:eastAsia="仿宋"/>
          <w:b/>
          <w:bCs/>
          <w:color w:val="auto"/>
          <w:sz w:val="32"/>
          <w:szCs w:val="32"/>
        </w:rPr>
        <w:t>件比：</w:t>
      </w:r>
      <w:r>
        <w:rPr>
          <w:rFonts w:hint="eastAsia" w:ascii="仿宋" w:hAnsi="仿宋" w:eastAsia="仿宋"/>
          <w:color w:val="auto"/>
          <w:sz w:val="32"/>
          <w:szCs w:val="32"/>
        </w:rPr>
        <w:t>是一项检察工作管理指标</w:t>
      </w:r>
      <w:r>
        <w:rPr>
          <w:rFonts w:hint="eastAsia" w:ascii="仿宋" w:hAnsi="仿宋" w:eastAsia="仿宋"/>
          <w:color w:val="auto"/>
          <w:sz w:val="32"/>
          <w:szCs w:val="32"/>
          <w:lang w:eastAsia="zh-CN"/>
        </w:rPr>
        <w:t>，</w:t>
      </w:r>
      <w:r>
        <w:rPr>
          <w:rFonts w:hint="eastAsia" w:ascii="仿宋" w:hAnsi="仿宋" w:eastAsia="仿宋"/>
          <w:color w:val="auto"/>
          <w:sz w:val="32"/>
          <w:szCs w:val="32"/>
        </w:rPr>
        <w:t>能够反映检察机关的工作质量、效率以及效果。一件案子如果在诉讼程序中反复进行流转，会造成案件比增高，浪费司法资源，损害司法公信力。</w:t>
      </w:r>
    </w:p>
    <w:p w14:paraId="637E2E34">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olor w:val="auto"/>
          <w:sz w:val="32"/>
          <w:szCs w:val="32"/>
        </w:rPr>
      </w:pPr>
      <w:r>
        <w:rPr>
          <w:rFonts w:hint="eastAsia" w:ascii="仿宋" w:hAnsi="仿宋" w:eastAsia="仿宋"/>
          <w:b/>
          <w:bCs/>
          <w:color w:val="auto"/>
          <w:sz w:val="32"/>
          <w:szCs w:val="32"/>
          <w:lang w:val="en-US" w:eastAsia="zh-CN"/>
        </w:rPr>
        <w:t>6</w:t>
      </w:r>
      <w:r>
        <w:rPr>
          <w:rFonts w:hint="eastAsia" w:ascii="仿宋" w:hAnsi="仿宋" w:eastAsia="仿宋"/>
          <w:b/>
          <w:bCs/>
          <w:color w:val="auto"/>
          <w:sz w:val="32"/>
          <w:szCs w:val="32"/>
        </w:rPr>
        <w:t>、羁押必要性审查：</w:t>
      </w:r>
      <w:r>
        <w:rPr>
          <w:rFonts w:hint="eastAsia" w:ascii="仿宋" w:hAnsi="仿宋" w:eastAsia="仿宋"/>
          <w:color w:val="auto"/>
          <w:sz w:val="32"/>
          <w:szCs w:val="32"/>
        </w:rPr>
        <w:t>《刑事诉讼法》第95条规定，犯罪嫌疑人、被告人被逮捕后，人民检察院仍应当对羁押的必要性进行审查，对不需要继续羁押的，应当建议予以释放或者变更强制措施。有关机关应当在10日内将处理情况通知人民检察院。</w:t>
      </w:r>
    </w:p>
    <w:p w14:paraId="59F5522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olor w:val="auto"/>
          <w:sz w:val="32"/>
          <w:szCs w:val="32"/>
        </w:rPr>
      </w:pPr>
      <w:r>
        <w:rPr>
          <w:rFonts w:hint="eastAsia" w:ascii="仿宋" w:hAnsi="仿宋" w:eastAsia="仿宋"/>
          <w:b/>
          <w:bCs/>
          <w:color w:val="auto"/>
          <w:sz w:val="32"/>
          <w:szCs w:val="32"/>
          <w:lang w:val="en-US" w:eastAsia="zh-CN"/>
        </w:rPr>
        <w:t>7</w:t>
      </w:r>
      <w:r>
        <w:rPr>
          <w:rFonts w:hint="eastAsia" w:ascii="仿宋" w:hAnsi="仿宋" w:eastAsia="仿宋"/>
          <w:b/>
          <w:bCs/>
          <w:color w:val="auto"/>
          <w:sz w:val="32"/>
          <w:szCs w:val="32"/>
        </w:rPr>
        <w:t>、行政争议实质性化解：</w:t>
      </w:r>
      <w:r>
        <w:rPr>
          <w:rFonts w:hint="eastAsia" w:ascii="仿宋" w:hAnsi="仿宋" w:eastAsia="仿宋"/>
          <w:color w:val="auto"/>
          <w:sz w:val="32"/>
          <w:szCs w:val="32"/>
        </w:rPr>
        <w:t>指围绕检察履职，检察官作为检察调解员，对行政机关和行政相对人之间的实质性行政争议，采取公开听证、法制教育、释法说理等方式，促成和解，实现案结事了政和。</w:t>
      </w:r>
    </w:p>
    <w:p w14:paraId="5F2D76F1">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olor w:val="auto"/>
          <w:sz w:val="32"/>
          <w:szCs w:val="32"/>
        </w:rPr>
      </w:pPr>
      <w:r>
        <w:rPr>
          <w:rFonts w:hint="eastAsia" w:ascii="仿宋" w:hAnsi="仿宋" w:eastAsia="仿宋"/>
          <w:b/>
          <w:bCs/>
          <w:color w:val="auto"/>
          <w:sz w:val="32"/>
          <w:szCs w:val="32"/>
          <w:lang w:val="en-US" w:eastAsia="zh-CN"/>
        </w:rPr>
        <w:t>9</w:t>
      </w:r>
      <w:r>
        <w:rPr>
          <w:rFonts w:hint="eastAsia" w:ascii="仿宋" w:hAnsi="仿宋" w:eastAsia="仿宋"/>
          <w:b/>
          <w:bCs/>
          <w:color w:val="auto"/>
          <w:sz w:val="32"/>
          <w:szCs w:val="32"/>
        </w:rPr>
        <w:t>、非诉执行：</w:t>
      </w:r>
      <w:r>
        <w:rPr>
          <w:rFonts w:hint="eastAsia" w:ascii="仿宋" w:hAnsi="仿宋" w:eastAsia="仿宋"/>
          <w:color w:val="auto"/>
          <w:sz w:val="32"/>
          <w:szCs w:val="32"/>
        </w:rPr>
        <w:t>是指根据《行政诉讼法》第97条规定，行政机关作出具体行政行为后，公民、法人或者其他组织在法定期限内，既不向人民法院提起行政诉讼，又拒不履行已生效的具体行政行为所确定的义务时，行政机关或行政裁决行为确定的权利人向人民法院提出执行申请，由人民法院采取强制措施，使具体行政行为的内容得以实现的制度。</w:t>
      </w:r>
    </w:p>
    <w:p w14:paraId="6CE461E6">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ascii="仿宋_GB2312" w:eastAsia="仿宋_GB2312"/>
          <w:color w:val="auto"/>
          <w:sz w:val="32"/>
          <w:szCs w:val="32"/>
        </w:rPr>
      </w:pPr>
      <w:r>
        <w:rPr>
          <w:rFonts w:hint="eastAsia" w:ascii="仿宋" w:hAnsi="仿宋" w:eastAsia="仿宋"/>
          <w:b/>
          <w:bCs/>
          <w:color w:val="auto"/>
          <w:sz w:val="32"/>
          <w:szCs w:val="32"/>
        </w:rPr>
        <w:t>1</w:t>
      </w:r>
      <w:r>
        <w:rPr>
          <w:rFonts w:hint="eastAsia" w:ascii="仿宋" w:hAnsi="仿宋" w:eastAsia="仿宋"/>
          <w:b/>
          <w:bCs/>
          <w:color w:val="auto"/>
          <w:sz w:val="32"/>
          <w:szCs w:val="32"/>
          <w:lang w:val="en-US" w:eastAsia="zh-CN"/>
        </w:rPr>
        <w:t>0</w:t>
      </w:r>
      <w:r>
        <w:rPr>
          <w:rFonts w:hint="eastAsia" w:ascii="仿宋" w:hAnsi="仿宋" w:eastAsia="仿宋"/>
          <w:b/>
          <w:bCs/>
          <w:color w:val="auto"/>
          <w:sz w:val="32"/>
          <w:szCs w:val="32"/>
        </w:rPr>
        <w:t>、三个规定：</w:t>
      </w:r>
      <w:r>
        <w:rPr>
          <w:rFonts w:hint="eastAsia" w:ascii="仿宋" w:hAnsi="仿宋" w:eastAsia="仿宋"/>
          <w:color w:val="auto"/>
          <w:sz w:val="32"/>
          <w:szCs w:val="32"/>
        </w:rPr>
        <w:t>《领导干部干预司法活动、插手具体案件处理的记录、通报和责任追究规定》《司法机关内部人员过问案件的记录和责任追究规定》《关于进一步规范司法人员与当事人、律师、特殊关系人、中介组织接触交往行为的若干规定》。</w:t>
      </w:r>
    </w:p>
    <w:sectPr>
      <w:footerReference r:id="rId3" w:type="default"/>
      <w:pgSz w:w="11906" w:h="16838"/>
      <w:pgMar w:top="1814" w:right="1474" w:bottom="141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406503"/>
    </w:sdtPr>
    <w:sdtContent>
      <w:p w14:paraId="6B9FC926">
        <w:pPr>
          <w:pStyle w:val="4"/>
          <w:jc w:val="center"/>
        </w:pPr>
        <w:r>
          <w:fldChar w:fldCharType="begin"/>
        </w:r>
        <w:r>
          <w:instrText xml:space="preserve"> PAGE   \* MERGEFORMAT </w:instrText>
        </w:r>
        <w:r>
          <w:fldChar w:fldCharType="separate"/>
        </w:r>
        <w:r>
          <w:rPr>
            <w:lang w:val="zh-CN"/>
          </w:rPr>
          <w:t>8</w:t>
        </w:r>
        <w:r>
          <w:rPr>
            <w:lang w:val="zh-CN"/>
          </w:rPr>
          <w:fldChar w:fldCharType="end"/>
        </w:r>
      </w:p>
    </w:sdtContent>
  </w:sdt>
  <w:p w14:paraId="4A21C257">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zNzFjMzk0Zjc1ZDkwYmY0MGNlZDRjNmJjZjIwOGQifQ=="/>
  </w:docVars>
  <w:rsids>
    <w:rsidRoot w:val="00000000"/>
    <w:rsid w:val="01C0753F"/>
    <w:rsid w:val="030E7E36"/>
    <w:rsid w:val="17451C21"/>
    <w:rsid w:val="1AC11F06"/>
    <w:rsid w:val="1C073948"/>
    <w:rsid w:val="1D5C4168"/>
    <w:rsid w:val="22317433"/>
    <w:rsid w:val="225A606C"/>
    <w:rsid w:val="27434067"/>
    <w:rsid w:val="2A8B3997"/>
    <w:rsid w:val="2CBA33EF"/>
    <w:rsid w:val="2F621D87"/>
    <w:rsid w:val="34000F51"/>
    <w:rsid w:val="34853DE7"/>
    <w:rsid w:val="38BF57D0"/>
    <w:rsid w:val="390A63CE"/>
    <w:rsid w:val="3F543649"/>
    <w:rsid w:val="4787486D"/>
    <w:rsid w:val="4F1E7AD3"/>
    <w:rsid w:val="59834A4E"/>
    <w:rsid w:val="5F0828E1"/>
    <w:rsid w:val="617D3986"/>
    <w:rsid w:val="61E72B9F"/>
    <w:rsid w:val="64740A1C"/>
    <w:rsid w:val="65F464AA"/>
    <w:rsid w:val="67181677"/>
    <w:rsid w:val="6759039D"/>
    <w:rsid w:val="6B99345E"/>
    <w:rsid w:val="6E28248D"/>
    <w:rsid w:val="7B2F2B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spacing w:after="120" w:afterLines="0"/>
      <w:ind w:left="200" w:leftChars="200" w:firstLine="420" w:firstLineChars="200"/>
    </w:pPr>
    <w:rPr>
      <w:rFonts w:ascii="Times New Roman"/>
    </w:rPr>
  </w:style>
  <w:style w:type="paragraph" w:styleId="3">
    <w:name w:val="Body Text Indent"/>
    <w:basedOn w:val="1"/>
    <w:qFormat/>
    <w:uiPriority w:val="0"/>
    <w:pPr>
      <w:ind w:firstLine="63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paragraph" w:customStyle="1" w:styleId="11">
    <w:name w:val="正文首行缩进 21"/>
    <w:basedOn w:val="1"/>
    <w:qFormat/>
    <w:uiPriority w:val="0"/>
    <w:pPr>
      <w:spacing w:after="120"/>
      <w:ind w:left="200" w:leftChars="200" w:firstLine="420" w:firstLineChars="200"/>
    </w:pPr>
    <w:rPr>
      <w:rFonts w:eastAsia="仿宋_GB2312"/>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6551</Words>
  <Characters>6645</Characters>
  <Lines>48</Lines>
  <Paragraphs>13</Paragraphs>
  <TotalTime>224</TotalTime>
  <ScaleCrop>false</ScaleCrop>
  <LinksUpToDate>false</LinksUpToDate>
  <CharactersWithSpaces>6650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2022-11-15T07:49:00Z</dcterms:created>
  <dc:creator>PC</dc:creator>
  <cp:lastModifiedBy>＊涟梓＊</cp:lastModifiedBy>
  <cp:lastPrinted>2022-12-15T07:14:00Z</cp:lastPrinted>
  <dcterms:modified xsi:type="dcterms:W3CDTF">2024-07-29T09:09:47Z</dcterms:modified>
  <cp:revision>262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263F50813D1642148430918873534BF3</vt:lpwstr>
  </property>
</Properties>
</file>